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0CBB1">
      <w:pPr>
        <w:spacing w:before="156" w:beforeLines="50" w:after="156" w:afterLines="50" w:line="400" w:lineRule="exact"/>
        <w:rPr>
          <w:bCs/>
          <w:iCs/>
          <w:color w:val="000000"/>
          <w:sz w:val="24"/>
        </w:rPr>
      </w:pPr>
      <w:r>
        <w:rPr>
          <w:rFonts w:hAnsi="宋体"/>
          <w:bCs/>
          <w:iCs/>
          <w:color w:val="000000"/>
          <w:sz w:val="24"/>
        </w:rPr>
        <w:t>证券代码：</w:t>
      </w:r>
      <w:r>
        <w:rPr>
          <w:bCs/>
          <w:iCs/>
          <w:color w:val="000000"/>
          <w:sz w:val="24"/>
        </w:rPr>
        <w:t xml:space="preserve"> </w:t>
      </w:r>
      <w:r>
        <w:rPr>
          <w:color w:val="000000"/>
          <w:sz w:val="24"/>
        </w:rPr>
        <w:t xml:space="preserve">603885                             </w:t>
      </w:r>
      <w:r>
        <w:rPr>
          <w:rFonts w:hint="eastAsia"/>
          <w:color w:val="000000"/>
          <w:sz w:val="24"/>
        </w:rPr>
        <w:t xml:space="preserve">    </w:t>
      </w:r>
      <w:r>
        <w:rPr>
          <w:rFonts w:hAnsi="宋体"/>
          <w:bCs/>
          <w:iCs/>
          <w:color w:val="000000"/>
          <w:sz w:val="24"/>
        </w:rPr>
        <w:t>证券简称：</w:t>
      </w:r>
      <w:r>
        <w:rPr>
          <w:color w:val="000000"/>
          <w:sz w:val="24"/>
        </w:rPr>
        <w:t>吉祥航空</w:t>
      </w:r>
    </w:p>
    <w:p w14:paraId="5D355689">
      <w:pPr>
        <w:spacing w:before="156" w:beforeLines="50" w:after="156" w:afterLines="50" w:line="400" w:lineRule="exact"/>
        <w:jc w:val="center"/>
        <w:rPr>
          <w:rFonts w:ascii="宋体" w:hAnsi="宋体"/>
          <w:b/>
          <w:bCs/>
          <w:iCs/>
          <w:color w:val="000000"/>
          <w:sz w:val="32"/>
          <w:szCs w:val="32"/>
        </w:rPr>
      </w:pPr>
      <w:r>
        <w:rPr>
          <w:rFonts w:ascii="宋体" w:hAnsi="宋体"/>
          <w:b/>
          <w:bCs/>
          <w:iCs/>
          <w:color w:val="000000"/>
          <w:sz w:val="32"/>
          <w:szCs w:val="32"/>
        </w:rPr>
        <w:t>上海吉祥航空股份有限公司</w:t>
      </w:r>
      <w:r>
        <w:rPr>
          <w:rFonts w:hint="eastAsia" w:ascii="宋体" w:hAnsi="宋体"/>
          <w:b/>
          <w:bCs/>
          <w:iCs/>
          <w:color w:val="000000"/>
          <w:sz w:val="32"/>
          <w:szCs w:val="32"/>
        </w:rPr>
        <w:t>投资者关系活动记录表</w:t>
      </w:r>
    </w:p>
    <w:p w14:paraId="52117D9E">
      <w:pPr>
        <w:spacing w:line="400" w:lineRule="exact"/>
        <w:jc w:val="right"/>
        <w:rPr>
          <w:bCs/>
          <w:iCs/>
          <w:color w:val="000000"/>
          <w:sz w:val="24"/>
        </w:rPr>
      </w:pPr>
      <w:r>
        <w:rPr>
          <w:rFonts w:hint="eastAsia" w:ascii="宋体" w:hAnsi="宋体"/>
          <w:bCs/>
          <w:iCs/>
          <w:color w:val="000000"/>
          <w:sz w:val="24"/>
        </w:rPr>
        <w:t>编号：202</w:t>
      </w:r>
      <w:r>
        <w:rPr>
          <w:rFonts w:hint="eastAsia" w:ascii="宋体" w:hAnsi="宋体"/>
          <w:bCs/>
          <w:iCs/>
          <w:color w:val="000000"/>
          <w:sz w:val="24"/>
          <w:lang w:val="en-US" w:eastAsia="zh-CN"/>
        </w:rPr>
        <w:t>6</w:t>
      </w:r>
      <w:r>
        <w:rPr>
          <w:rFonts w:hint="eastAsia" w:ascii="宋体" w:hAnsi="宋体"/>
          <w:bCs/>
          <w:iCs/>
          <w:color w:val="000000"/>
          <w:sz w:val="24"/>
        </w:rPr>
        <w:t>-00</w:t>
      </w:r>
      <w:r>
        <w:rPr>
          <w:rFonts w:hint="eastAsia" w:ascii="宋体" w:hAnsi="宋体"/>
          <w:bCs/>
          <w:iCs/>
          <w:color w:val="000000"/>
          <w:sz w:val="24"/>
          <w:lang w:val="en-US" w:eastAsia="zh-CN"/>
        </w:rPr>
        <w:t>2</w:t>
      </w:r>
      <w:r>
        <w:rPr>
          <w:rFonts w:hint="eastAsia" w:ascii="宋体" w:hAnsi="宋体"/>
          <w:bCs/>
          <w:iCs/>
          <w:color w:val="000000"/>
          <w:sz w:val="24"/>
        </w:rPr>
        <w:t xml:space="preserve">                                                     </w:t>
      </w:r>
    </w:p>
    <w:tbl>
      <w:tblPr>
        <w:tblStyle w:val="6"/>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14:paraId="236D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08" w:type="dxa"/>
            <w:tcBorders>
              <w:top w:val="single" w:color="auto" w:sz="4" w:space="0"/>
              <w:left w:val="single" w:color="auto" w:sz="4" w:space="0"/>
              <w:bottom w:val="single" w:color="auto" w:sz="4" w:space="0"/>
              <w:right w:val="single" w:color="auto" w:sz="4" w:space="0"/>
            </w:tcBorders>
            <w:vAlign w:val="center"/>
          </w:tcPr>
          <w:p w14:paraId="1FD5D782">
            <w:pPr>
              <w:spacing w:line="420" w:lineRule="exact"/>
              <w:rPr>
                <w:bCs/>
                <w:iCs/>
                <w:color w:val="000000"/>
                <w:kern w:val="0"/>
                <w:sz w:val="24"/>
              </w:rPr>
            </w:pPr>
            <w:r>
              <w:rPr>
                <w:rFonts w:hAnsi="宋体"/>
                <w:bCs/>
                <w:iCs/>
                <w:color w:val="000000"/>
                <w:kern w:val="0"/>
                <w:sz w:val="24"/>
              </w:rPr>
              <w:t>投资者关系活动类别</w:t>
            </w:r>
          </w:p>
          <w:p w14:paraId="00769CD7">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tcPr>
          <w:p w14:paraId="00DC4C36">
            <w:pPr>
              <w:spacing w:line="420" w:lineRule="exact"/>
              <w:rPr>
                <w:bCs/>
                <w:iCs/>
                <w:color w:val="000000"/>
                <w:sz w:val="24"/>
              </w:rPr>
            </w:pPr>
            <w:r>
              <w:rPr>
                <w:rFonts w:hint="eastAsia"/>
                <w:bCs/>
                <w:iCs/>
                <w:color w:val="000000"/>
                <w:kern w:val="0"/>
                <w:sz w:val="24"/>
              </w:rPr>
              <w:t xml:space="preserve">□ </w:t>
            </w:r>
            <w:r>
              <w:rPr>
                <w:rFonts w:hAnsi="宋体"/>
                <w:kern w:val="0"/>
                <w:sz w:val="24"/>
              </w:rPr>
              <w:t>特定对象调研</w:t>
            </w:r>
            <w:r>
              <w:rPr>
                <w:kern w:val="0"/>
                <w:sz w:val="24"/>
              </w:rPr>
              <w:t xml:space="preserve">       </w:t>
            </w:r>
            <w:r>
              <w:rPr>
                <w:rFonts w:hint="eastAsia"/>
                <w:kern w:val="0"/>
                <w:sz w:val="24"/>
              </w:rPr>
              <w:t xml:space="preserve"> </w:t>
            </w:r>
            <w:r>
              <w:rPr>
                <w:rFonts w:hint="eastAsia"/>
                <w:bCs/>
                <w:iCs/>
                <w:color w:val="000000"/>
                <w:kern w:val="0"/>
                <w:sz w:val="24"/>
                <w:lang w:eastAsia="zh-CN"/>
              </w:rPr>
              <w:t>□</w:t>
            </w:r>
            <w:r>
              <w:rPr>
                <w:rFonts w:hint="eastAsia"/>
                <w:bCs/>
                <w:iCs/>
                <w:color w:val="000000"/>
                <w:kern w:val="0"/>
                <w:sz w:val="24"/>
              </w:rPr>
              <w:t xml:space="preserve"> </w:t>
            </w:r>
            <w:r>
              <w:rPr>
                <w:rFonts w:hAnsi="宋体"/>
                <w:kern w:val="0"/>
                <w:sz w:val="24"/>
              </w:rPr>
              <w:t>分析师会议</w:t>
            </w:r>
          </w:p>
          <w:p w14:paraId="78EC4AF6">
            <w:pPr>
              <w:spacing w:line="420" w:lineRule="exact"/>
              <w:rPr>
                <w:bCs/>
                <w:iCs/>
                <w:color w:val="000000"/>
                <w:kern w:val="0"/>
                <w:sz w:val="24"/>
              </w:rPr>
            </w:pPr>
            <w:r>
              <w:rPr>
                <w:rFonts w:hint="eastAsia"/>
                <w:bCs/>
                <w:iCs/>
                <w:color w:val="000000"/>
                <w:kern w:val="0"/>
                <w:sz w:val="24"/>
              </w:rPr>
              <w:t xml:space="preserve">□ </w:t>
            </w:r>
            <w:r>
              <w:rPr>
                <w:rFonts w:hAnsi="宋体"/>
                <w:kern w:val="0"/>
                <w:sz w:val="24"/>
              </w:rPr>
              <w:t>媒体采访</w:t>
            </w:r>
            <w:r>
              <w:rPr>
                <w:kern w:val="0"/>
                <w:sz w:val="24"/>
              </w:rPr>
              <w:t xml:space="preserve">            </w:t>
            </w:r>
            <w:r>
              <w:rPr>
                <w:rFonts w:hint="eastAsia"/>
                <w:bCs/>
                <w:iCs/>
                <w:color w:val="000000"/>
                <w:kern w:val="0"/>
                <w:sz w:val="24"/>
                <w:lang w:eastAsia="zh-CN"/>
              </w:rPr>
              <w:t>☑</w:t>
            </w:r>
            <w:r>
              <w:rPr>
                <w:rFonts w:hint="eastAsia"/>
                <w:bCs/>
                <w:iCs/>
                <w:color w:val="000000"/>
                <w:kern w:val="0"/>
                <w:sz w:val="24"/>
              </w:rPr>
              <w:t xml:space="preserve"> </w:t>
            </w:r>
            <w:r>
              <w:rPr>
                <w:rFonts w:hAnsi="宋体"/>
                <w:kern w:val="0"/>
                <w:sz w:val="24"/>
              </w:rPr>
              <w:t>业绩说明会</w:t>
            </w:r>
          </w:p>
          <w:p w14:paraId="63371D31">
            <w:pPr>
              <w:spacing w:line="420" w:lineRule="exact"/>
              <w:rPr>
                <w:bCs/>
                <w:iCs/>
                <w:color w:val="000000"/>
                <w:kern w:val="0"/>
                <w:sz w:val="24"/>
              </w:rPr>
            </w:pPr>
            <w:r>
              <w:rPr>
                <w:rFonts w:hint="eastAsia"/>
                <w:bCs/>
                <w:iCs/>
                <w:color w:val="000000"/>
                <w:kern w:val="0"/>
                <w:sz w:val="24"/>
              </w:rPr>
              <w:t xml:space="preserve">□ </w:t>
            </w:r>
            <w:r>
              <w:rPr>
                <w:rFonts w:hAnsi="宋体"/>
                <w:kern w:val="0"/>
                <w:sz w:val="24"/>
              </w:rPr>
              <w:t>新闻发布会</w:t>
            </w:r>
            <w:r>
              <w:rPr>
                <w:kern w:val="0"/>
                <w:sz w:val="24"/>
              </w:rPr>
              <w:t xml:space="preserve">          </w:t>
            </w:r>
            <w:r>
              <w:rPr>
                <w:rFonts w:hint="eastAsia"/>
                <w:bCs/>
                <w:iCs/>
                <w:color w:val="000000"/>
                <w:kern w:val="0"/>
                <w:sz w:val="24"/>
              </w:rPr>
              <w:t xml:space="preserve">□ </w:t>
            </w:r>
            <w:r>
              <w:rPr>
                <w:rFonts w:hAnsi="宋体"/>
                <w:kern w:val="0"/>
                <w:sz w:val="24"/>
              </w:rPr>
              <w:t>路演活动</w:t>
            </w:r>
          </w:p>
          <w:p w14:paraId="14D001E2">
            <w:pPr>
              <w:tabs>
                <w:tab w:val="left" w:pos="3045"/>
                <w:tab w:val="center" w:pos="3199"/>
              </w:tabs>
              <w:spacing w:line="420" w:lineRule="exact"/>
              <w:rPr>
                <w:bCs/>
                <w:iCs/>
                <w:color w:val="000000"/>
                <w:kern w:val="0"/>
                <w:sz w:val="24"/>
              </w:rPr>
            </w:pPr>
            <w:r>
              <w:rPr>
                <w:rFonts w:hint="eastAsia"/>
                <w:bCs/>
                <w:iCs/>
                <w:color w:val="000000"/>
                <w:kern w:val="0"/>
                <w:sz w:val="24"/>
              </w:rPr>
              <w:t xml:space="preserve">□ </w:t>
            </w:r>
            <w:r>
              <w:rPr>
                <w:rFonts w:hAnsi="宋体"/>
                <w:kern w:val="0"/>
                <w:sz w:val="24"/>
              </w:rPr>
              <w:t>现场参观</w:t>
            </w:r>
            <w:r>
              <w:rPr>
                <w:bCs/>
                <w:iCs/>
                <w:color w:val="000000"/>
                <w:kern w:val="0"/>
                <w:sz w:val="24"/>
              </w:rPr>
              <w:tab/>
            </w:r>
          </w:p>
          <w:p w14:paraId="5A841A7B">
            <w:pPr>
              <w:tabs>
                <w:tab w:val="center" w:pos="3199"/>
              </w:tabs>
              <w:spacing w:line="420" w:lineRule="exact"/>
              <w:rPr>
                <w:bCs/>
                <w:iCs/>
                <w:color w:val="000000"/>
                <w:sz w:val="24"/>
              </w:rPr>
            </w:pPr>
            <w:r>
              <w:rPr>
                <w:rFonts w:hint="eastAsia"/>
                <w:bCs/>
                <w:iCs/>
                <w:color w:val="000000"/>
                <w:kern w:val="0"/>
                <w:sz w:val="24"/>
                <w:lang w:eastAsia="zh-CN"/>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int="eastAsia" w:hAnsi="宋体"/>
                <w:kern w:val="0"/>
                <w:sz w:val="24"/>
                <w:u w:val="single"/>
                <w:lang w:val="en-US" w:eastAsia="zh-CN"/>
              </w:rPr>
              <w:t xml:space="preserve">        </w:t>
            </w:r>
            <w:r>
              <w:rPr>
                <w:rFonts w:hAnsi="宋体"/>
                <w:kern w:val="0"/>
                <w:sz w:val="24"/>
              </w:rPr>
              <w:t>）</w:t>
            </w:r>
          </w:p>
        </w:tc>
      </w:tr>
      <w:tr w14:paraId="4E39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08ABDDD7">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vAlign w:val="center"/>
          </w:tcPr>
          <w:p w14:paraId="5D5E1AE2">
            <w:pPr>
              <w:spacing w:line="420" w:lineRule="exact"/>
              <w:rPr>
                <w:rFonts w:hint="eastAsia" w:eastAsia="宋体"/>
                <w:bCs/>
                <w:iCs/>
                <w:color w:val="000000"/>
                <w:sz w:val="24"/>
                <w:lang w:val="en-GB" w:eastAsia="zh-CN"/>
              </w:rPr>
            </w:pPr>
            <w:r>
              <w:rPr>
                <w:rFonts w:hint="eastAsia"/>
                <w:bCs/>
                <w:iCs/>
                <w:color w:val="000000"/>
                <w:sz w:val="24"/>
                <w:lang w:val="en-GB" w:eastAsia="zh-CN"/>
              </w:rPr>
              <w:t>投资者网上提问</w:t>
            </w:r>
          </w:p>
        </w:tc>
      </w:tr>
      <w:tr w14:paraId="172C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409CB81E">
            <w:pPr>
              <w:spacing w:line="420" w:lineRule="exact"/>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tcPr>
          <w:p w14:paraId="1CAB847A">
            <w:pPr>
              <w:spacing w:line="420" w:lineRule="exact"/>
              <w:rPr>
                <w:bCs/>
                <w:iCs/>
                <w:color w:val="000000"/>
                <w:sz w:val="24"/>
              </w:rPr>
            </w:pPr>
            <w:r>
              <w:rPr>
                <w:rFonts w:hint="eastAsia"/>
                <w:bCs/>
                <w:iCs/>
                <w:color w:val="000000"/>
                <w:sz w:val="24"/>
              </w:rPr>
              <w:t>2026-09-09 - 13:00-14:00</w:t>
            </w:r>
          </w:p>
        </w:tc>
      </w:tr>
      <w:tr w14:paraId="6E1A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274193D5">
            <w:pPr>
              <w:spacing w:line="420" w:lineRule="exact"/>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tcPr>
          <w:p w14:paraId="7A16D201">
            <w:pPr>
              <w:spacing w:line="420" w:lineRule="exact"/>
              <w:rPr>
                <w:rFonts w:hint="eastAsia" w:ascii="宋体" w:hAnsi="宋体"/>
                <w:sz w:val="24"/>
              </w:rPr>
            </w:pPr>
            <w:r>
              <w:rPr>
                <w:rFonts w:hint="eastAsia" w:ascii="宋体" w:hAnsi="宋体"/>
                <w:sz w:val="24"/>
              </w:rPr>
              <w:t>上证路演中心 https://roadshow.sseinfo.com</w:t>
            </w:r>
          </w:p>
          <w:p w14:paraId="35A8574F">
            <w:pPr>
              <w:spacing w:line="420" w:lineRule="exact"/>
              <w:rPr>
                <w:bCs/>
                <w:iCs/>
                <w:color w:val="000000"/>
                <w:sz w:val="24"/>
              </w:rPr>
            </w:pPr>
            <w:r>
              <w:rPr>
                <w:rFonts w:hint="eastAsia" w:ascii="宋体" w:hAnsi="宋体"/>
                <w:sz w:val="24"/>
              </w:rPr>
              <w:t>网络文字互动</w:t>
            </w:r>
          </w:p>
        </w:tc>
      </w:tr>
      <w:tr w14:paraId="2922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78B1D185">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vAlign w:val="center"/>
          </w:tcPr>
          <w:p w14:paraId="08423115">
            <w:pPr>
              <w:spacing w:line="420" w:lineRule="exact"/>
              <w:rPr>
                <w:rFonts w:ascii="宋体" w:hAnsi="宋体"/>
                <w:bCs/>
                <w:sz w:val="24"/>
              </w:rPr>
            </w:pPr>
            <w:r>
              <w:rPr>
                <w:rFonts w:hint="eastAsia" w:ascii="宋体" w:hAnsi="宋体"/>
                <w:bCs/>
                <w:sz w:val="24"/>
              </w:rPr>
              <w:t>董事长王均金先生，董事兼总裁于成吉先生，职工董事、副总裁兼董事会秘书夏海兵先生，独立董事金立印先生，独立董事薛爽女士，独立董事史晶女士，财务总监沈浩先生。</w:t>
            </w:r>
          </w:p>
        </w:tc>
      </w:tr>
      <w:tr w14:paraId="0DC9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45C50BF4">
            <w:pPr>
              <w:spacing w:line="420" w:lineRule="exact"/>
              <w:rPr>
                <w:bCs/>
                <w:iCs/>
                <w:color w:val="000000"/>
                <w:kern w:val="0"/>
                <w:sz w:val="24"/>
              </w:rPr>
            </w:pPr>
            <w:r>
              <w:rPr>
                <w:rFonts w:hAnsi="宋体"/>
                <w:bCs/>
                <w:iCs/>
                <w:color w:val="000000"/>
                <w:kern w:val="0"/>
                <w:sz w:val="24"/>
              </w:rPr>
              <w:t>投资者关系活动主要内容介绍</w:t>
            </w:r>
          </w:p>
          <w:p w14:paraId="4C02A538">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tcPr>
          <w:p w14:paraId="1B9EB149">
            <w:pPr>
              <w:keepNext w:val="0"/>
              <w:keepLines w:val="0"/>
              <w:pageBreakBefore w:val="0"/>
              <w:widowControl w:val="0"/>
              <w:kinsoku/>
              <w:wordWrap/>
              <w:overflowPunct/>
              <w:topLinePunct w:val="0"/>
              <w:autoSpaceDE w:val="0"/>
              <w:autoSpaceDN w:val="0"/>
              <w:bidi w:val="0"/>
              <w:adjustRightInd/>
              <w:snapToGrid/>
              <w:spacing w:before="156" w:beforeLines="50"/>
              <w:ind w:firstLine="482" w:firstLineChars="200"/>
              <w:textAlignment w:val="auto"/>
              <w:rPr>
                <w:rFonts w:hint="eastAsia" w:ascii="宋体" w:hAnsi="宋体"/>
                <w:b/>
                <w:bCs w:val="0"/>
                <w:sz w:val="24"/>
              </w:rPr>
            </w:pPr>
            <w:r>
              <w:rPr>
                <w:rFonts w:hint="eastAsia" w:ascii="宋体" w:hAnsi="宋体"/>
                <w:b/>
                <w:bCs w:val="0"/>
                <w:sz w:val="24"/>
              </w:rPr>
              <w:t>投资者提出的问题及公司回复情况</w:t>
            </w:r>
          </w:p>
          <w:p w14:paraId="37E329EA">
            <w:pPr>
              <w:keepNext w:val="0"/>
              <w:keepLines w:val="0"/>
              <w:pageBreakBefore w:val="0"/>
              <w:widowControl w:val="0"/>
              <w:kinsoku/>
              <w:wordWrap/>
              <w:overflowPunct/>
              <w:topLinePunct w:val="0"/>
              <w:autoSpaceDE w:val="0"/>
              <w:autoSpaceDN w:val="0"/>
              <w:bidi w:val="0"/>
              <w:adjustRightInd/>
              <w:snapToGrid/>
              <w:spacing w:before="156" w:beforeLines="50"/>
              <w:ind w:firstLine="480" w:firstLineChars="200"/>
              <w:textAlignment w:val="auto"/>
              <w:rPr>
                <w:rFonts w:hint="eastAsia" w:ascii="宋体" w:hAnsi="宋体" w:eastAsia="宋体"/>
                <w:b w:val="0"/>
                <w:bCs/>
                <w:sz w:val="24"/>
                <w:lang w:eastAsia="zh-CN"/>
              </w:rPr>
            </w:pPr>
            <w:r>
              <w:rPr>
                <w:rFonts w:hint="eastAsia" w:ascii="宋体" w:hAnsi="宋体"/>
                <w:b w:val="0"/>
                <w:bCs/>
                <w:sz w:val="24"/>
              </w:rPr>
              <w:t>公司就投资者在本次说明会中提出的问题进行了回复：</w:t>
            </w:r>
          </w:p>
          <w:p w14:paraId="60D3FC7B">
            <w:pPr>
              <w:keepNext w:val="0"/>
              <w:keepLines w:val="0"/>
              <w:pageBreakBefore w:val="0"/>
              <w:widowControl w:val="0"/>
              <w:numPr>
                <w:ilvl w:val="0"/>
                <w:numId w:val="1"/>
              </w:numPr>
              <w:kinsoku/>
              <w:wordWrap/>
              <w:overflowPunct/>
              <w:topLinePunct w:val="0"/>
              <w:autoSpaceDE w:val="0"/>
              <w:autoSpaceDN w:val="0"/>
              <w:bidi w:val="0"/>
              <w:adjustRightInd/>
              <w:snapToGrid/>
              <w:spacing w:before="156" w:beforeLines="50"/>
              <w:ind w:left="0" w:leftChars="0" w:firstLine="482" w:firstLineChars="200"/>
              <w:textAlignment w:val="auto"/>
              <w:rPr>
                <w:rFonts w:hint="eastAsia" w:ascii="宋体" w:hAnsi="宋体"/>
                <w:b/>
                <w:sz w:val="24"/>
              </w:rPr>
            </w:pPr>
            <w:r>
              <w:rPr>
                <w:rFonts w:hint="eastAsia" w:ascii="宋体" w:hAnsi="宋体"/>
                <w:b/>
                <w:sz w:val="24"/>
              </w:rPr>
              <w:t>二季度受油价大幅上涨影响，行业普遍盈利承压，但也有个别廉航实现盈利，您认为公司在策略上有何优化空间？对于下半年行业的宏观环境及行业趋势有何预判？</w:t>
            </w:r>
          </w:p>
          <w:p w14:paraId="55F2A484">
            <w:pPr>
              <w:keepNext w:val="0"/>
              <w:keepLines w:val="0"/>
              <w:pageBreakBefore w:val="0"/>
              <w:widowControl w:val="0"/>
              <w:numPr>
                <w:ilvl w:val="0"/>
                <w:numId w:val="0"/>
              </w:numPr>
              <w:kinsoku/>
              <w:wordWrap/>
              <w:overflowPunct/>
              <w:topLinePunct w:val="0"/>
              <w:autoSpaceDE w:val="0"/>
              <w:autoSpaceDN w:val="0"/>
              <w:bidi w:val="0"/>
              <w:adjustRightInd/>
              <w:snapToGrid/>
              <w:spacing w:before="156" w:beforeLines="50"/>
              <w:ind w:firstLine="480" w:firstLineChars="200"/>
              <w:textAlignment w:val="auto"/>
              <w:rPr>
                <w:rFonts w:hint="eastAsia" w:ascii="宋体" w:hAnsi="宋体"/>
                <w:bCs/>
                <w:sz w:val="24"/>
                <w:lang w:val="en-US" w:eastAsia="zh-CN"/>
              </w:rPr>
            </w:pPr>
            <w:r>
              <w:rPr>
                <w:rFonts w:hint="eastAsia" w:ascii="宋体" w:hAnsi="宋体"/>
                <w:bCs/>
                <w:sz w:val="24"/>
                <w:lang w:val="en-US" w:eastAsia="zh-CN"/>
              </w:rPr>
              <w:t>尊敬的投资者，您好！公司将继续推进业财融合深度嵌入业务全流程，系统性压降各类运营成本，且对日常经营进行全流程精细化管理，持续推进运行降本。感谢您对公司的关注。</w:t>
            </w:r>
          </w:p>
          <w:p w14:paraId="1134B772">
            <w:pPr>
              <w:keepNext w:val="0"/>
              <w:keepLines w:val="0"/>
              <w:pageBreakBefore w:val="0"/>
              <w:widowControl w:val="0"/>
              <w:numPr>
                <w:ilvl w:val="0"/>
                <w:numId w:val="1"/>
              </w:numPr>
              <w:kinsoku/>
              <w:wordWrap/>
              <w:overflowPunct/>
              <w:topLinePunct w:val="0"/>
              <w:autoSpaceDE w:val="0"/>
              <w:autoSpaceDN w:val="0"/>
              <w:bidi w:val="0"/>
              <w:adjustRightInd/>
              <w:snapToGrid/>
              <w:spacing w:before="156" w:beforeLines="50"/>
              <w:ind w:left="0" w:leftChars="0" w:firstLine="482" w:firstLineChars="200"/>
              <w:textAlignment w:val="auto"/>
              <w:rPr>
                <w:rFonts w:ascii="宋体" w:hAnsi="宋体"/>
                <w:b/>
                <w:sz w:val="24"/>
              </w:rPr>
            </w:pPr>
            <w:r>
              <w:rPr>
                <w:rFonts w:hint="eastAsia" w:ascii="宋体" w:hAnsi="宋体"/>
                <w:b/>
                <w:sz w:val="24"/>
              </w:rPr>
              <w:t>公司上半年归母净利润1.5亿元，但扣非净利润仅为6942万元，大幅下滑83%。作为会计领域的专家，您如何看待公司当前核心主业的真实盈利水平？在年度审计中，您将如何督促管理层对飞机营运补偿、政府补助等非经常性损益项目进行严格、合规的确认，以确保财报真实反映公司的经营质地？</w:t>
            </w:r>
          </w:p>
          <w:p w14:paraId="0BD912CA">
            <w:pPr>
              <w:keepNext w:val="0"/>
              <w:keepLines w:val="0"/>
              <w:pageBreakBefore w:val="0"/>
              <w:widowControl w:val="0"/>
              <w:kinsoku/>
              <w:wordWrap/>
              <w:overflowPunct/>
              <w:topLinePunct w:val="0"/>
              <w:autoSpaceDE w:val="0"/>
              <w:autoSpaceDN w:val="0"/>
              <w:bidi w:val="0"/>
              <w:adjustRightInd/>
              <w:snapToGrid/>
              <w:spacing w:before="156" w:beforeLines="50"/>
              <w:ind w:firstLine="480" w:firstLineChars="200"/>
              <w:textAlignment w:val="auto"/>
              <w:rPr>
                <w:rFonts w:hint="eastAsia" w:ascii="宋体" w:hAnsi="宋体"/>
                <w:bCs/>
                <w:sz w:val="24"/>
              </w:rPr>
            </w:pPr>
            <w:r>
              <w:rPr>
                <w:rFonts w:hint="eastAsia" w:ascii="宋体" w:hAnsi="宋体"/>
                <w:bCs/>
                <w:sz w:val="24"/>
              </w:rPr>
              <w:t>尊敬的投资者，您好！关于第一个问题，上半年归母净利润与扣非净利润出现较大差异，核心原因在于上半年非经常性损益</w:t>
            </w:r>
            <w:r>
              <w:rPr>
                <w:rFonts w:hint="eastAsia" w:ascii="宋体" w:hAnsi="宋体"/>
                <w:bCs/>
                <w:sz w:val="24"/>
                <w:lang w:val="en-US" w:eastAsia="zh-CN"/>
              </w:rPr>
              <w:t>影响</w:t>
            </w:r>
            <w:r>
              <w:rPr>
                <w:rFonts w:hint="eastAsia" w:ascii="宋体" w:hAnsi="宋体"/>
                <w:bCs/>
                <w:sz w:val="24"/>
              </w:rPr>
              <w:t>较大。扣非净利润大幅下滑83%，反映出公司核心主业在当前经营环境下面临阶段性压力。关于第二个问题，在年度审计中我们将重点督促管理层和审计师从以下两个层面把关：第一，对照《企业会计准则第16号——政府补助》及相关解释，逐笔确认补偿/补助的性质、归属期间和确认条件，确保权责发生制的准确运用；第二，要求外部审计师针对该类项目给审计委员会提供说明。感谢您对公司的关注。</w:t>
            </w:r>
          </w:p>
          <w:p w14:paraId="7609A15A">
            <w:pPr>
              <w:keepNext w:val="0"/>
              <w:keepLines w:val="0"/>
              <w:pageBreakBefore w:val="0"/>
              <w:widowControl w:val="0"/>
              <w:numPr>
                <w:ilvl w:val="0"/>
                <w:numId w:val="1"/>
              </w:numPr>
              <w:kinsoku/>
              <w:wordWrap/>
              <w:overflowPunct/>
              <w:topLinePunct w:val="0"/>
              <w:autoSpaceDE w:val="0"/>
              <w:autoSpaceDN w:val="0"/>
              <w:bidi w:val="0"/>
              <w:adjustRightInd/>
              <w:snapToGrid/>
              <w:spacing w:before="156" w:beforeLines="50"/>
              <w:ind w:left="0" w:leftChars="0" w:firstLine="482" w:firstLineChars="200"/>
              <w:textAlignment w:val="auto"/>
              <w:rPr>
                <w:rFonts w:ascii="宋体" w:hAnsi="宋体"/>
                <w:b/>
                <w:sz w:val="24"/>
              </w:rPr>
            </w:pPr>
            <w:r>
              <w:rPr>
                <w:rFonts w:hint="eastAsia" w:ascii="宋体" w:hAnsi="宋体"/>
                <w:b/>
                <w:sz w:val="24"/>
              </w:rPr>
              <w:t>在行业普遍采取低价策略争夺客源的背景下，吉祥主品牌与九元航空的差异化竞争是否受到挤压？公司如何确保双枢纽（上海、广州）协同效应能真正转化为利润，而不是陷入全服务与低成本之间的价格内耗？</w:t>
            </w:r>
          </w:p>
          <w:p w14:paraId="332652B8">
            <w:pPr>
              <w:keepNext w:val="0"/>
              <w:keepLines w:val="0"/>
              <w:pageBreakBefore w:val="0"/>
              <w:widowControl w:val="0"/>
              <w:kinsoku/>
              <w:wordWrap/>
              <w:overflowPunct/>
              <w:topLinePunct w:val="0"/>
              <w:autoSpaceDE w:val="0"/>
              <w:autoSpaceDN w:val="0"/>
              <w:bidi w:val="0"/>
              <w:adjustRightInd/>
              <w:snapToGrid/>
              <w:spacing w:before="156" w:beforeLines="50"/>
              <w:ind w:firstLine="480" w:firstLineChars="200"/>
              <w:textAlignment w:val="auto"/>
              <w:rPr>
                <w:rFonts w:hint="eastAsia" w:ascii="宋体" w:hAnsi="宋体"/>
                <w:bCs/>
                <w:sz w:val="24"/>
              </w:rPr>
            </w:pPr>
            <w:r>
              <w:rPr>
                <w:rFonts w:hint="eastAsia" w:ascii="宋体" w:hAnsi="宋体"/>
                <w:bCs/>
                <w:sz w:val="24"/>
              </w:rPr>
              <w:t>尊敬的投资者，您好！公司将继续坚持双品牌及双枢纽运行的发展战略，吉祥航空主攻上海及长三角中商务、旅行及休闲客户，客源优质、收益基础稳固，九元航空面向大湾区低成本出行市场，两个品牌形成高、中、低端旅客市场全覆盖。感谢您对公司的关注。</w:t>
            </w:r>
          </w:p>
          <w:p w14:paraId="5972E87B">
            <w:pPr>
              <w:keepNext w:val="0"/>
              <w:keepLines w:val="0"/>
              <w:pageBreakBefore w:val="0"/>
              <w:widowControl w:val="0"/>
              <w:numPr>
                <w:ilvl w:val="0"/>
                <w:numId w:val="1"/>
              </w:numPr>
              <w:kinsoku/>
              <w:wordWrap/>
              <w:overflowPunct/>
              <w:topLinePunct w:val="0"/>
              <w:autoSpaceDE w:val="0"/>
              <w:autoSpaceDN w:val="0"/>
              <w:bidi w:val="0"/>
              <w:adjustRightInd/>
              <w:snapToGrid/>
              <w:spacing w:before="156" w:beforeLines="50"/>
              <w:ind w:left="0" w:leftChars="0" w:firstLine="482" w:firstLineChars="200"/>
              <w:textAlignment w:val="auto"/>
              <w:rPr>
                <w:rFonts w:ascii="宋体" w:hAnsi="宋体"/>
                <w:b/>
                <w:sz w:val="24"/>
              </w:rPr>
            </w:pPr>
            <w:r>
              <w:rPr>
                <w:rFonts w:hint="eastAsia" w:ascii="宋体" w:hAnsi="宋体"/>
                <w:b/>
                <w:sz w:val="24"/>
              </w:rPr>
              <w:t>上半年公司财务费用下降了24.37%，其中汇兑收益贡献了约4100万元。在当前人民币汇率双向波动的背景下，公司目前使用了哪些具体的金融衍生工具或套期保值策略来锁定汇率风险？下半年对财务费用的管控目标是多少？</w:t>
            </w:r>
          </w:p>
          <w:p w14:paraId="34BB330B">
            <w:pPr>
              <w:keepNext w:val="0"/>
              <w:keepLines w:val="0"/>
              <w:pageBreakBefore w:val="0"/>
              <w:widowControl w:val="0"/>
              <w:kinsoku/>
              <w:wordWrap/>
              <w:overflowPunct/>
              <w:topLinePunct w:val="0"/>
              <w:autoSpaceDE w:val="0"/>
              <w:autoSpaceDN w:val="0"/>
              <w:bidi w:val="0"/>
              <w:adjustRightInd/>
              <w:snapToGrid/>
              <w:spacing w:before="156" w:beforeLines="50"/>
              <w:ind w:firstLine="480" w:firstLineChars="200"/>
              <w:textAlignment w:val="auto"/>
              <w:rPr>
                <w:rFonts w:hint="eastAsia" w:ascii="宋体" w:hAnsi="宋体"/>
                <w:bCs/>
                <w:sz w:val="24"/>
              </w:rPr>
            </w:pPr>
            <w:r>
              <w:rPr>
                <w:rFonts w:hint="eastAsia" w:ascii="宋体" w:hAnsi="宋体"/>
                <w:bCs/>
                <w:sz w:val="24"/>
              </w:rPr>
              <w:t>尊敬的投资者，您好！公司已建立套期保值业务机制，制定了《期货和衍生品套期保值业务管理制度》，报告期内以套期保值为目的的衍生品投资收益为199.9万元，公司现持有外汇远期与货币互换，主要针对公司美元资产及美元负债，降低美元对人民币汇率波动影响。感谢您对公司的关注。</w:t>
            </w:r>
          </w:p>
          <w:p w14:paraId="4C7FBA2B">
            <w:pPr>
              <w:keepNext w:val="0"/>
              <w:keepLines w:val="0"/>
              <w:pageBreakBefore w:val="0"/>
              <w:widowControl w:val="0"/>
              <w:numPr>
                <w:ilvl w:val="0"/>
                <w:numId w:val="1"/>
              </w:numPr>
              <w:kinsoku/>
              <w:wordWrap/>
              <w:overflowPunct/>
              <w:topLinePunct w:val="0"/>
              <w:autoSpaceDE w:val="0"/>
              <w:autoSpaceDN w:val="0"/>
              <w:bidi w:val="0"/>
              <w:adjustRightInd/>
              <w:snapToGrid/>
              <w:spacing w:before="156" w:beforeLines="50"/>
              <w:ind w:left="0" w:leftChars="0" w:firstLine="482" w:firstLineChars="200"/>
              <w:textAlignment w:val="auto"/>
              <w:rPr>
                <w:rFonts w:ascii="宋体" w:hAnsi="宋体"/>
                <w:b/>
                <w:sz w:val="24"/>
              </w:rPr>
            </w:pPr>
            <w:r>
              <w:rPr>
                <w:rFonts w:hint="eastAsia" w:ascii="宋体" w:hAnsi="宋体"/>
                <w:b/>
                <w:sz w:val="24"/>
              </w:rPr>
              <w:t>半年国内航线燃油附加费涨幅曾达到5倍，但依然未能完全覆盖航油成本的飙升。作为独立董事，您如何评价公司在面对极端油价时的“成本转嫁能力”？在品牌溢价和辅营收入（如行李、选座等）方面，您认为公司还有哪些潜力可以挖掘，以减轻主业对票价的单一依赖？</w:t>
            </w:r>
          </w:p>
          <w:p w14:paraId="5E2FD4A2">
            <w:pPr>
              <w:keepNext w:val="0"/>
              <w:keepLines w:val="0"/>
              <w:pageBreakBefore w:val="0"/>
              <w:widowControl w:val="0"/>
              <w:kinsoku/>
              <w:wordWrap/>
              <w:overflowPunct/>
              <w:topLinePunct w:val="0"/>
              <w:autoSpaceDE w:val="0"/>
              <w:autoSpaceDN w:val="0"/>
              <w:bidi w:val="0"/>
              <w:adjustRightInd/>
              <w:snapToGrid/>
              <w:spacing w:before="156" w:beforeLines="50"/>
              <w:ind w:firstLine="480" w:firstLineChars="200"/>
              <w:textAlignment w:val="auto"/>
              <w:rPr>
                <w:rFonts w:hint="eastAsia" w:ascii="宋体" w:hAnsi="宋体"/>
                <w:bCs/>
                <w:sz w:val="24"/>
              </w:rPr>
            </w:pPr>
            <w:r>
              <w:rPr>
                <w:rFonts w:hint="eastAsia" w:ascii="宋体" w:hAnsi="宋体"/>
                <w:bCs/>
                <w:sz w:val="24"/>
              </w:rPr>
              <w:t>尊敬的投资者，您好！公司始终注重成本管控，通过精细化成本管控积极努力对冲油价压力，单位扣油成本同比保持平稳。公司将继续立足双品牌差异化定位，持续丰富增值服务产品体系。感谢您对公司的关注。</w:t>
            </w:r>
          </w:p>
          <w:p w14:paraId="5965904F">
            <w:pPr>
              <w:keepNext w:val="0"/>
              <w:keepLines w:val="0"/>
              <w:pageBreakBefore w:val="0"/>
              <w:widowControl w:val="0"/>
              <w:numPr>
                <w:ilvl w:val="0"/>
                <w:numId w:val="1"/>
              </w:numPr>
              <w:kinsoku/>
              <w:wordWrap/>
              <w:overflowPunct/>
              <w:topLinePunct w:val="0"/>
              <w:autoSpaceDE w:val="0"/>
              <w:autoSpaceDN w:val="0"/>
              <w:bidi w:val="0"/>
              <w:adjustRightInd/>
              <w:snapToGrid/>
              <w:spacing w:before="156" w:beforeLines="50"/>
              <w:ind w:left="0" w:leftChars="0" w:firstLine="482" w:firstLineChars="200"/>
              <w:textAlignment w:val="auto"/>
              <w:rPr>
                <w:rFonts w:hint="eastAsia" w:ascii="宋体" w:hAnsi="宋体"/>
                <w:b/>
                <w:sz w:val="24"/>
              </w:rPr>
            </w:pPr>
            <w:r>
              <w:rPr>
                <w:rFonts w:hint="eastAsia" w:ascii="宋体" w:hAnsi="宋体"/>
                <w:b/>
                <w:sz w:val="24"/>
              </w:rPr>
              <w:t>半年报显示公司未拟定利润分配预案。考虑到公司目前的经营现金流净额同比大增39.31%至43.29亿元，主业造血能力依然强劲，未来在什么条件下公司会重启常态化分红，以回馈长期陪伴的中小股东？</w:t>
            </w:r>
          </w:p>
          <w:p w14:paraId="3B0D5EB6">
            <w:pPr>
              <w:keepNext w:val="0"/>
              <w:keepLines w:val="0"/>
              <w:pageBreakBefore w:val="0"/>
              <w:widowControl w:val="0"/>
              <w:kinsoku/>
              <w:wordWrap/>
              <w:overflowPunct/>
              <w:topLinePunct w:val="0"/>
              <w:autoSpaceDE w:val="0"/>
              <w:autoSpaceDN w:val="0"/>
              <w:bidi w:val="0"/>
              <w:adjustRightInd/>
              <w:snapToGrid/>
              <w:spacing w:before="156" w:beforeLines="50"/>
              <w:ind w:firstLine="480" w:firstLineChars="200"/>
              <w:textAlignment w:val="auto"/>
              <w:rPr>
                <w:rFonts w:hint="eastAsia" w:ascii="宋体" w:hAnsi="宋体"/>
                <w:bCs/>
                <w:sz w:val="24"/>
              </w:rPr>
            </w:pPr>
            <w:r>
              <w:rPr>
                <w:rFonts w:hint="eastAsia" w:ascii="宋体" w:hAnsi="宋体"/>
                <w:bCs/>
                <w:sz w:val="24"/>
              </w:rPr>
              <w:t>尊敬的投资者，您好！公司持续重视股东回报，未来将视公司经营情况，根据公司章程及法律法规评估现金分红、股份回购等安排，为股东创造价值。感谢您对公司的关注。</w:t>
            </w:r>
          </w:p>
          <w:p w14:paraId="2B21F866">
            <w:pPr>
              <w:keepNext w:val="0"/>
              <w:keepLines w:val="0"/>
              <w:pageBreakBefore w:val="0"/>
              <w:widowControl w:val="0"/>
              <w:numPr>
                <w:ilvl w:val="0"/>
                <w:numId w:val="1"/>
              </w:numPr>
              <w:kinsoku/>
              <w:wordWrap/>
              <w:overflowPunct/>
              <w:topLinePunct w:val="0"/>
              <w:autoSpaceDE w:val="0"/>
              <w:autoSpaceDN w:val="0"/>
              <w:bidi w:val="0"/>
              <w:adjustRightInd/>
              <w:snapToGrid/>
              <w:spacing w:before="156" w:beforeLines="50"/>
              <w:ind w:left="0" w:leftChars="0" w:firstLine="482" w:firstLineChars="200"/>
              <w:textAlignment w:val="auto"/>
              <w:rPr>
                <w:rFonts w:hint="eastAsia" w:ascii="宋体" w:hAnsi="宋体"/>
                <w:b/>
                <w:sz w:val="24"/>
              </w:rPr>
            </w:pPr>
            <w:r>
              <w:rPr>
                <w:rFonts w:hint="eastAsia" w:ascii="宋体" w:hAnsi="宋体"/>
                <w:b/>
                <w:sz w:val="24"/>
              </w:rPr>
              <w:t>史女士您好，航空业属于典型的重资产、高负债行业，且受宏观经济和地缘政治影响极大。作为独立董事，您认为公司目前的内部控制和风险预警机制是否足够前瞻？在应对航油价格剧烈波动、国际地缘冲突等黑天鹅事件时，独立董事团队将如何更好地履行监督职责，保护中小投资者的合法权益？</w:t>
            </w:r>
          </w:p>
          <w:p w14:paraId="4AE58DC3">
            <w:pPr>
              <w:keepNext w:val="0"/>
              <w:keepLines w:val="0"/>
              <w:pageBreakBefore w:val="0"/>
              <w:widowControl w:val="0"/>
              <w:kinsoku/>
              <w:wordWrap/>
              <w:overflowPunct/>
              <w:topLinePunct w:val="0"/>
              <w:autoSpaceDE w:val="0"/>
              <w:autoSpaceDN w:val="0"/>
              <w:bidi w:val="0"/>
              <w:adjustRightInd/>
              <w:snapToGrid/>
              <w:spacing w:before="156" w:beforeLines="50"/>
              <w:ind w:firstLine="480" w:firstLineChars="200"/>
              <w:textAlignment w:val="auto"/>
              <w:rPr>
                <w:rFonts w:hint="eastAsia" w:ascii="宋体" w:hAnsi="宋体"/>
                <w:bCs/>
                <w:sz w:val="24"/>
              </w:rPr>
            </w:pPr>
            <w:r>
              <w:rPr>
                <w:rFonts w:hint="eastAsia" w:ascii="宋体" w:hAnsi="宋体"/>
                <w:bCs/>
                <w:sz w:val="24"/>
              </w:rPr>
              <w:t>尊敬的投资者，您好！公司独立董事将按照独立董事的职责履行监督义务，确保公司的各项经营活动不存在损害中小投资者合法权益的行为。感谢您对公司的关注。</w:t>
            </w:r>
          </w:p>
          <w:p w14:paraId="6CDFC772">
            <w:pPr>
              <w:keepNext w:val="0"/>
              <w:keepLines w:val="0"/>
              <w:pageBreakBefore w:val="0"/>
              <w:widowControl w:val="0"/>
              <w:numPr>
                <w:ilvl w:val="0"/>
                <w:numId w:val="1"/>
              </w:numPr>
              <w:kinsoku/>
              <w:wordWrap/>
              <w:overflowPunct/>
              <w:topLinePunct w:val="0"/>
              <w:autoSpaceDE w:val="0"/>
              <w:autoSpaceDN w:val="0"/>
              <w:bidi w:val="0"/>
              <w:adjustRightInd/>
              <w:snapToGrid/>
              <w:spacing w:before="156" w:beforeLines="50"/>
              <w:ind w:left="0" w:leftChars="0" w:firstLine="482" w:firstLineChars="200"/>
              <w:textAlignment w:val="auto"/>
              <w:rPr>
                <w:rFonts w:hint="eastAsia" w:ascii="宋体" w:hAnsi="宋体"/>
                <w:b/>
                <w:sz w:val="24"/>
              </w:rPr>
            </w:pPr>
            <w:r>
              <w:rPr>
                <w:rFonts w:hint="eastAsia" w:ascii="宋体" w:hAnsi="宋体"/>
                <w:b/>
                <w:sz w:val="24"/>
              </w:rPr>
              <w:t>沈总您好，二季度公司毛利率骤降至-2.0%，单季亏损2.9亿元。请问随着三季度暑运旺季的到来，以及近期国内航油综合采购均价的变化，公司三季度的毛利率是否有望回正？</w:t>
            </w:r>
          </w:p>
          <w:p w14:paraId="5427E1B5">
            <w:pPr>
              <w:keepNext w:val="0"/>
              <w:keepLines w:val="0"/>
              <w:pageBreakBefore w:val="0"/>
              <w:widowControl w:val="0"/>
              <w:kinsoku/>
              <w:wordWrap/>
              <w:overflowPunct/>
              <w:topLinePunct w:val="0"/>
              <w:autoSpaceDE w:val="0"/>
              <w:autoSpaceDN w:val="0"/>
              <w:bidi w:val="0"/>
              <w:adjustRightInd/>
              <w:snapToGrid/>
              <w:spacing w:before="156" w:beforeLines="50"/>
              <w:ind w:firstLine="480" w:firstLineChars="200"/>
              <w:textAlignment w:val="auto"/>
              <w:rPr>
                <w:rFonts w:hint="eastAsia" w:ascii="宋体" w:hAnsi="宋体"/>
                <w:bCs/>
                <w:sz w:val="24"/>
              </w:rPr>
            </w:pPr>
            <w:r>
              <w:rPr>
                <w:rFonts w:hint="eastAsia" w:ascii="宋体" w:hAnsi="宋体"/>
                <w:bCs/>
                <w:sz w:val="24"/>
              </w:rPr>
              <w:t>尊敬的投资者，您好！公司二季度毛利率为负，主要因航油价格超预期冲高所致。进入三季度，国内航油综合采购均价自年内高位回落，叠加暑运旺季需求释放、客座率同比提升，预计三季度毛利率将较二季度</w:t>
            </w:r>
            <w:r>
              <w:rPr>
                <w:rFonts w:hint="eastAsia" w:ascii="宋体" w:hAnsi="宋体"/>
                <w:bCs/>
                <w:sz w:val="24"/>
                <w:lang w:val="en-US" w:eastAsia="zh-CN"/>
              </w:rPr>
              <w:t>有所</w:t>
            </w:r>
            <w:r>
              <w:rPr>
                <w:rFonts w:hint="eastAsia" w:ascii="宋体" w:hAnsi="宋体"/>
                <w:bCs/>
                <w:sz w:val="24"/>
              </w:rPr>
              <w:t>改善。具体经营数据请以公司后续披露的三季报为准。感谢您对公司的关注。</w:t>
            </w:r>
          </w:p>
          <w:p w14:paraId="423C6C9A">
            <w:pPr>
              <w:keepNext w:val="0"/>
              <w:keepLines w:val="0"/>
              <w:pageBreakBefore w:val="0"/>
              <w:widowControl w:val="0"/>
              <w:numPr>
                <w:ilvl w:val="0"/>
                <w:numId w:val="1"/>
              </w:numPr>
              <w:kinsoku/>
              <w:wordWrap/>
              <w:overflowPunct/>
              <w:topLinePunct w:val="0"/>
              <w:autoSpaceDE w:val="0"/>
              <w:autoSpaceDN w:val="0"/>
              <w:bidi w:val="0"/>
              <w:adjustRightInd/>
              <w:snapToGrid/>
              <w:spacing w:before="156" w:beforeLines="50"/>
              <w:ind w:left="0" w:leftChars="0" w:firstLine="482" w:firstLineChars="200"/>
              <w:textAlignment w:val="auto"/>
              <w:rPr>
                <w:rFonts w:hint="eastAsia" w:ascii="宋体" w:hAnsi="宋体"/>
                <w:b/>
                <w:sz w:val="24"/>
              </w:rPr>
            </w:pPr>
            <w:r>
              <w:rPr>
                <w:rFonts w:hint="eastAsia" w:ascii="宋体" w:hAnsi="宋体"/>
                <w:b/>
                <w:sz w:val="24"/>
              </w:rPr>
              <w:t>夏总您好，公司近期正在推进4亿至8亿元的股份回购计划，截至8月底已回购约2.2亿元。请问此次回购的股份，未来是倾向于用于员工持股计划还是股权激励？在当前股价低迷、利润承压的阶段，公司是否有进一步的市值管理举措来提振中小股东的信心？</w:t>
            </w:r>
          </w:p>
          <w:p w14:paraId="6E6A86AE">
            <w:pPr>
              <w:keepNext w:val="0"/>
              <w:keepLines w:val="0"/>
              <w:pageBreakBefore w:val="0"/>
              <w:widowControl w:val="0"/>
              <w:kinsoku/>
              <w:wordWrap/>
              <w:overflowPunct/>
              <w:topLinePunct w:val="0"/>
              <w:autoSpaceDE w:val="0"/>
              <w:autoSpaceDN w:val="0"/>
              <w:bidi w:val="0"/>
              <w:adjustRightInd/>
              <w:snapToGrid/>
              <w:spacing w:before="156" w:beforeLines="50"/>
              <w:ind w:firstLine="480" w:firstLineChars="200"/>
              <w:textAlignment w:val="auto"/>
              <w:rPr>
                <w:rFonts w:hint="eastAsia" w:ascii="宋体" w:hAnsi="宋体"/>
                <w:bCs/>
                <w:sz w:val="24"/>
              </w:rPr>
            </w:pPr>
            <w:r>
              <w:rPr>
                <w:rFonts w:hint="eastAsia" w:ascii="宋体" w:hAnsi="宋体"/>
                <w:bCs/>
                <w:sz w:val="24"/>
              </w:rPr>
              <w:t>尊敬的投资者，您好！公司持续重视股东回报，近几年来持续进行现金分红、股份回购及股份注销。未来若计划开展员工持股计划或股权激励计划，公司将按照相关法律法规的规定予以披露。感谢您对公司的关注。</w:t>
            </w:r>
          </w:p>
          <w:p w14:paraId="3EAFF5ED">
            <w:pPr>
              <w:keepNext w:val="0"/>
              <w:keepLines w:val="0"/>
              <w:pageBreakBefore w:val="0"/>
              <w:widowControl w:val="0"/>
              <w:numPr>
                <w:ilvl w:val="0"/>
                <w:numId w:val="1"/>
              </w:numPr>
              <w:kinsoku/>
              <w:wordWrap/>
              <w:overflowPunct/>
              <w:topLinePunct w:val="0"/>
              <w:autoSpaceDE w:val="0"/>
              <w:autoSpaceDN w:val="0"/>
              <w:bidi w:val="0"/>
              <w:adjustRightInd/>
              <w:snapToGrid/>
              <w:spacing w:before="156" w:beforeLines="50"/>
              <w:ind w:left="0" w:leftChars="0" w:firstLine="482" w:firstLineChars="200"/>
              <w:textAlignment w:val="auto"/>
              <w:rPr>
                <w:rFonts w:hint="eastAsia" w:ascii="宋体" w:hAnsi="宋体"/>
                <w:b/>
                <w:sz w:val="24"/>
              </w:rPr>
            </w:pPr>
            <w:r>
              <w:rPr>
                <w:rFonts w:hint="eastAsia" w:ascii="宋体" w:hAnsi="宋体"/>
                <w:b/>
                <w:sz w:val="24"/>
              </w:rPr>
              <w:t>于总您好，半年报显示国际航线ASK同比下降7.47%，但客座率提升了近5个百分点。请问公司10架B787宽体机目前的日利用率（13.64小时）是否已达到最优状态？在下半年，公司是否有计划进一步加密高收益的国际航线，以摊薄宽体机的固定成本？</w:t>
            </w:r>
          </w:p>
          <w:p w14:paraId="0D9E5CD7">
            <w:pPr>
              <w:keepNext w:val="0"/>
              <w:keepLines w:val="0"/>
              <w:pageBreakBefore w:val="0"/>
              <w:widowControl w:val="0"/>
              <w:kinsoku/>
              <w:wordWrap/>
              <w:overflowPunct/>
              <w:topLinePunct w:val="0"/>
              <w:autoSpaceDE w:val="0"/>
              <w:autoSpaceDN w:val="0"/>
              <w:bidi w:val="0"/>
              <w:adjustRightInd/>
              <w:snapToGrid/>
              <w:spacing w:before="156" w:beforeLines="50"/>
              <w:ind w:firstLine="480" w:firstLineChars="200"/>
              <w:textAlignment w:val="auto"/>
              <w:rPr>
                <w:rFonts w:hint="eastAsia" w:ascii="宋体" w:hAnsi="宋体"/>
                <w:bCs/>
                <w:sz w:val="24"/>
              </w:rPr>
            </w:pPr>
            <w:r>
              <w:rPr>
                <w:rFonts w:hint="eastAsia" w:ascii="宋体" w:hAnsi="宋体"/>
                <w:bCs/>
                <w:sz w:val="24"/>
              </w:rPr>
              <w:t>尊敬的投资者，您好！得益于国家的入境免签政策等有利因素，上半年公司国际航线的客座率持续提升，目前宽体机的日利用率达到阶段性的较好状态，未来公司将持续关注洲际及周边国家的航点机会，丰富公司的航线网络。感谢您对公司的关注。</w:t>
            </w:r>
          </w:p>
          <w:p w14:paraId="47186500">
            <w:pPr>
              <w:keepNext w:val="0"/>
              <w:keepLines w:val="0"/>
              <w:pageBreakBefore w:val="0"/>
              <w:widowControl w:val="0"/>
              <w:kinsoku/>
              <w:wordWrap/>
              <w:overflowPunct/>
              <w:topLinePunct w:val="0"/>
              <w:autoSpaceDE w:val="0"/>
              <w:autoSpaceDN w:val="0"/>
              <w:bidi w:val="0"/>
              <w:adjustRightInd/>
              <w:snapToGrid/>
              <w:spacing w:before="156" w:beforeLines="50"/>
              <w:textAlignment w:val="auto"/>
              <w:rPr>
                <w:rFonts w:hint="eastAsia" w:ascii="宋体" w:hAnsi="宋体"/>
                <w:bCs/>
                <w:sz w:val="24"/>
                <w:lang w:val="en-US" w:eastAsia="zh-CN"/>
              </w:rPr>
            </w:pPr>
          </w:p>
        </w:tc>
      </w:tr>
      <w:tr w14:paraId="70FA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7DF6A793">
            <w:pPr>
              <w:spacing w:line="420" w:lineRule="exact"/>
              <w:rPr>
                <w:bCs/>
                <w:iCs/>
                <w:color w:val="000000"/>
                <w:kern w:val="0"/>
                <w:sz w:val="24"/>
              </w:rPr>
            </w:pPr>
            <w:r>
              <w:rPr>
                <w:rFonts w:hAnsi="宋体"/>
                <w:bCs/>
                <w:iCs/>
                <w:color w:val="000000"/>
                <w:kern w:val="0"/>
                <w:sz w:val="24"/>
              </w:rPr>
              <w:t>附件清单（如有）</w:t>
            </w:r>
          </w:p>
        </w:tc>
        <w:tc>
          <w:tcPr>
            <w:tcW w:w="6847" w:type="dxa"/>
            <w:tcBorders>
              <w:top w:val="single" w:color="auto" w:sz="4" w:space="0"/>
              <w:left w:val="single" w:color="auto" w:sz="4" w:space="0"/>
              <w:bottom w:val="single" w:color="auto" w:sz="4" w:space="0"/>
              <w:right w:val="single" w:color="auto" w:sz="4" w:space="0"/>
            </w:tcBorders>
          </w:tcPr>
          <w:p w14:paraId="224CF6B2">
            <w:pPr>
              <w:spacing w:line="420" w:lineRule="exact"/>
              <w:rPr>
                <w:bCs/>
                <w:iCs/>
                <w:color w:val="000000"/>
                <w:sz w:val="24"/>
              </w:rPr>
            </w:pPr>
            <w:r>
              <w:rPr>
                <w:rFonts w:hint="eastAsia"/>
                <w:bCs/>
                <w:iCs/>
                <w:color w:val="000000"/>
                <w:sz w:val="24"/>
              </w:rPr>
              <w:t>无</w:t>
            </w:r>
          </w:p>
        </w:tc>
      </w:tr>
      <w:tr w14:paraId="01E2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00AB8ABA">
            <w:pPr>
              <w:spacing w:line="420" w:lineRule="exact"/>
              <w:rPr>
                <w:bCs/>
                <w:iCs/>
                <w:color w:val="000000"/>
                <w:kern w:val="0"/>
                <w:sz w:val="24"/>
              </w:rPr>
            </w:pPr>
            <w:r>
              <w:rPr>
                <w:rFonts w:hAnsi="宋体"/>
                <w:bCs/>
                <w:iCs/>
                <w:color w:val="000000"/>
                <w:kern w:val="0"/>
                <w:sz w:val="24"/>
              </w:rPr>
              <w:t>日期</w:t>
            </w:r>
          </w:p>
        </w:tc>
        <w:tc>
          <w:tcPr>
            <w:tcW w:w="6847" w:type="dxa"/>
            <w:tcBorders>
              <w:top w:val="single" w:color="auto" w:sz="4" w:space="0"/>
              <w:left w:val="single" w:color="auto" w:sz="4" w:space="0"/>
              <w:bottom w:val="single" w:color="auto" w:sz="4" w:space="0"/>
              <w:right w:val="single" w:color="auto" w:sz="4" w:space="0"/>
            </w:tcBorders>
          </w:tcPr>
          <w:p w14:paraId="1FF945E6">
            <w:pPr>
              <w:spacing w:line="420" w:lineRule="exact"/>
              <w:rPr>
                <w:rFonts w:hint="eastAsia" w:eastAsia="宋体"/>
                <w:bCs/>
                <w:iCs/>
                <w:color w:val="000000"/>
                <w:sz w:val="24"/>
                <w:lang w:val="en-US" w:eastAsia="zh-CN"/>
              </w:rPr>
            </w:pPr>
            <w:r>
              <w:rPr>
                <w:rFonts w:hint="eastAsia"/>
                <w:bCs/>
                <w:iCs/>
                <w:color w:val="000000"/>
                <w:sz w:val="24"/>
              </w:rPr>
              <w:t>2026</w:t>
            </w:r>
            <w:r>
              <w:rPr>
                <w:rFonts w:hint="eastAsia"/>
                <w:bCs/>
                <w:iCs/>
                <w:color w:val="000000"/>
                <w:sz w:val="24"/>
                <w:lang w:val="en-US" w:eastAsia="zh-CN"/>
              </w:rPr>
              <w:t>年</w:t>
            </w:r>
            <w:r>
              <w:rPr>
                <w:rFonts w:hint="eastAsia"/>
                <w:bCs/>
                <w:iCs/>
                <w:color w:val="000000"/>
                <w:sz w:val="24"/>
              </w:rPr>
              <w:t>9</w:t>
            </w:r>
            <w:r>
              <w:rPr>
                <w:rFonts w:hint="eastAsia"/>
                <w:bCs/>
                <w:iCs/>
                <w:color w:val="000000"/>
                <w:sz w:val="24"/>
                <w:lang w:val="en-US" w:eastAsia="zh-CN"/>
              </w:rPr>
              <w:t>月</w:t>
            </w:r>
            <w:r>
              <w:rPr>
                <w:rFonts w:hint="eastAsia"/>
                <w:bCs/>
                <w:iCs/>
                <w:color w:val="000000"/>
                <w:sz w:val="24"/>
              </w:rPr>
              <w:t>9</w:t>
            </w:r>
            <w:r>
              <w:rPr>
                <w:rFonts w:hint="eastAsia"/>
                <w:bCs/>
                <w:iCs/>
                <w:color w:val="000000"/>
                <w:sz w:val="24"/>
                <w:lang w:val="en-US" w:eastAsia="zh-CN"/>
              </w:rPr>
              <w:t>日</w:t>
            </w:r>
          </w:p>
        </w:tc>
      </w:tr>
    </w:tbl>
    <w:p w14:paraId="2798F64A"/>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24D61">
    <w:pPr>
      <w:pStyle w:val="3"/>
      <w:jc w:val="right"/>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0D1AA3">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E0D1AA3">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05D56">
    <w:pPr>
      <w:pStyle w:val="4"/>
      <w:pBdr>
        <w:bottom w:val="none" w:color="auto" w:sz="0" w:space="0"/>
      </w:pBdr>
      <w:jc w:val="left"/>
    </w:pPr>
    <w:r>
      <w:drawing>
        <wp:anchor distT="0" distB="0" distL="114300" distR="114300" simplePos="0" relativeHeight="251659264" behindDoc="1" locked="0" layoutInCell="1" allowOverlap="1">
          <wp:simplePos x="0" y="0"/>
          <wp:positionH relativeFrom="column">
            <wp:posOffset>-96520</wp:posOffset>
          </wp:positionH>
          <wp:positionV relativeFrom="paragraph">
            <wp:posOffset>-201295</wp:posOffset>
          </wp:positionV>
          <wp:extent cx="1853565" cy="609600"/>
          <wp:effectExtent l="0" t="0" r="13335" b="0"/>
          <wp:wrapTight wrapText="bothSides">
            <wp:wrapPolygon>
              <wp:start x="2442" y="2025"/>
              <wp:lineTo x="1110" y="4050"/>
              <wp:lineTo x="222" y="8100"/>
              <wp:lineTo x="222" y="14175"/>
              <wp:lineTo x="2442" y="20250"/>
              <wp:lineTo x="4218" y="20250"/>
              <wp:lineTo x="15984" y="18900"/>
              <wp:lineTo x="21089" y="16875"/>
              <wp:lineTo x="21311" y="4050"/>
              <wp:lineTo x="19535" y="3375"/>
              <wp:lineTo x="4218" y="2025"/>
              <wp:lineTo x="2442" y="2025"/>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853565" cy="60960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B2E462"/>
    <w:multiLevelType w:val="singleLevel"/>
    <w:tmpl w:val="3BB2E462"/>
    <w:lvl w:ilvl="0" w:tentative="0">
      <w:start w:val="1"/>
      <w:numFmt w:val="decimal"/>
      <w:suff w:val="nothing"/>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4OWQ0YWVlOTg5YzAyMDNjZWY4NTk4NDBiYTZhODIifQ=="/>
  </w:docVars>
  <w:rsids>
    <w:rsidRoot w:val="006861C7"/>
    <w:rsid w:val="000268C0"/>
    <w:rsid w:val="000363B5"/>
    <w:rsid w:val="000375D7"/>
    <w:rsid w:val="00043015"/>
    <w:rsid w:val="00046DDE"/>
    <w:rsid w:val="00047EB9"/>
    <w:rsid w:val="00056C70"/>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B7FF4"/>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D5224"/>
    <w:rsid w:val="00CF565C"/>
    <w:rsid w:val="00D016A3"/>
    <w:rsid w:val="00D512E3"/>
    <w:rsid w:val="00D602C9"/>
    <w:rsid w:val="00DA26A9"/>
    <w:rsid w:val="00DB01FF"/>
    <w:rsid w:val="00DC7778"/>
    <w:rsid w:val="00DE7391"/>
    <w:rsid w:val="00DF2DB5"/>
    <w:rsid w:val="00DF6560"/>
    <w:rsid w:val="00DF713F"/>
    <w:rsid w:val="00E04CC0"/>
    <w:rsid w:val="00E136FF"/>
    <w:rsid w:val="00E32528"/>
    <w:rsid w:val="00E35F26"/>
    <w:rsid w:val="00E46408"/>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201B"/>
    <w:rsid w:val="00F43465"/>
    <w:rsid w:val="00F45475"/>
    <w:rsid w:val="00F64E72"/>
    <w:rsid w:val="00F70C7D"/>
    <w:rsid w:val="00F9272E"/>
    <w:rsid w:val="00F97743"/>
    <w:rsid w:val="00FA6DAF"/>
    <w:rsid w:val="00FC6884"/>
    <w:rsid w:val="00FE62F3"/>
    <w:rsid w:val="00FF71D2"/>
    <w:rsid w:val="02BE598D"/>
    <w:rsid w:val="05694D83"/>
    <w:rsid w:val="12174F59"/>
    <w:rsid w:val="136E0BA9"/>
    <w:rsid w:val="15D171CD"/>
    <w:rsid w:val="18827DE5"/>
    <w:rsid w:val="19BC5E34"/>
    <w:rsid w:val="1B2418A5"/>
    <w:rsid w:val="1BED28E8"/>
    <w:rsid w:val="1E0248C8"/>
    <w:rsid w:val="1FBFC074"/>
    <w:rsid w:val="201C5FB0"/>
    <w:rsid w:val="20361F29"/>
    <w:rsid w:val="22982404"/>
    <w:rsid w:val="22E91FFA"/>
    <w:rsid w:val="29FB496D"/>
    <w:rsid w:val="2A645210"/>
    <w:rsid w:val="2AA23234"/>
    <w:rsid w:val="2B51698E"/>
    <w:rsid w:val="2E246D3F"/>
    <w:rsid w:val="2ECE0AB9"/>
    <w:rsid w:val="2FD45D39"/>
    <w:rsid w:val="354F3255"/>
    <w:rsid w:val="355F2E8E"/>
    <w:rsid w:val="36FB9E1F"/>
    <w:rsid w:val="385D25D8"/>
    <w:rsid w:val="3BFA3B96"/>
    <w:rsid w:val="3CEF3472"/>
    <w:rsid w:val="3EFF16E9"/>
    <w:rsid w:val="3F075E88"/>
    <w:rsid w:val="3F3A338E"/>
    <w:rsid w:val="4034641D"/>
    <w:rsid w:val="45742073"/>
    <w:rsid w:val="458D763F"/>
    <w:rsid w:val="46FA2178"/>
    <w:rsid w:val="4C1004D1"/>
    <w:rsid w:val="534D2F47"/>
    <w:rsid w:val="54B131E9"/>
    <w:rsid w:val="56972DCF"/>
    <w:rsid w:val="59141475"/>
    <w:rsid w:val="5A7B0342"/>
    <w:rsid w:val="5C4578CF"/>
    <w:rsid w:val="5E36214F"/>
    <w:rsid w:val="623E1258"/>
    <w:rsid w:val="62FF0AFC"/>
    <w:rsid w:val="64BD1B8A"/>
    <w:rsid w:val="64EC34AD"/>
    <w:rsid w:val="656D50AE"/>
    <w:rsid w:val="6B650D55"/>
    <w:rsid w:val="71C34CAF"/>
    <w:rsid w:val="74F87447"/>
    <w:rsid w:val="77CF73AC"/>
    <w:rsid w:val="78370476"/>
    <w:rsid w:val="78FF0116"/>
    <w:rsid w:val="7E4016C2"/>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link w:val="12"/>
    <w:autoRedefine/>
    <w:qFormat/>
    <w:uiPriority w:val="0"/>
    <w:pPr>
      <w:tabs>
        <w:tab w:val="center" w:pos="4153"/>
        <w:tab w:val="right" w:pos="8306"/>
      </w:tabs>
      <w:snapToGrid w:val="0"/>
      <w:jc w:val="left"/>
    </w:pPr>
    <w:rPr>
      <w:sz w:val="18"/>
      <w:szCs w:val="18"/>
    </w:rPr>
  </w:style>
  <w:style w:type="paragraph" w:styleId="4">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customStyle="1" w:styleId="8">
    <w:name w:val="_Style 6"/>
    <w:basedOn w:val="1"/>
    <w:autoRedefine/>
    <w:qFormat/>
    <w:uiPriority w:val="34"/>
    <w:pPr>
      <w:ind w:firstLine="420" w:firstLineChars="200"/>
    </w:pPr>
    <w:rPr>
      <w:rFonts w:ascii="Calibri" w:hAnsi="Calibri"/>
      <w:szCs w:val="22"/>
    </w:rPr>
  </w:style>
  <w:style w:type="paragraph" w:customStyle="1" w:styleId="9">
    <w:name w:val="Char Char Char"/>
    <w:basedOn w:val="1"/>
    <w:autoRedefine/>
    <w:qFormat/>
    <w:uiPriority w:val="0"/>
    <w:rPr>
      <w:szCs w:val="21"/>
    </w:rPr>
  </w:style>
  <w:style w:type="paragraph" w:customStyle="1" w:styleId="10">
    <w:name w:val="Char Char Char Char Char Char Char Char Char Char Char Char Char Char Char Char"/>
    <w:basedOn w:val="1"/>
    <w:autoRedefine/>
    <w:qFormat/>
    <w:uiPriority w:val="0"/>
  </w:style>
  <w:style w:type="paragraph" w:customStyle="1" w:styleId="11">
    <w:name w:val="Char Char Char1"/>
    <w:basedOn w:val="1"/>
    <w:autoRedefine/>
    <w:qFormat/>
    <w:uiPriority w:val="0"/>
  </w:style>
  <w:style w:type="character" w:customStyle="1" w:styleId="12">
    <w:name w:val="页脚 字符"/>
    <w:basedOn w:val="7"/>
    <w:link w:val="3"/>
    <w:qFormat/>
    <w:uiPriority w:val="0"/>
    <w:rPr>
      <w:kern w:val="2"/>
      <w:sz w:val="18"/>
      <w:szCs w:val="18"/>
    </w:rPr>
  </w:style>
  <w:style w:type="character" w:customStyle="1" w:styleId="13">
    <w:name w:val="页眉 字符"/>
    <w:basedOn w:val="7"/>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2430</Words>
  <Characters>2541</Characters>
  <Lines>6</Lines>
  <Paragraphs>1</Paragraphs>
  <TotalTime>10</TotalTime>
  <ScaleCrop>false</ScaleCrop>
  <LinksUpToDate>false</LinksUpToDate>
  <CharactersWithSpaces>2679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2012-09-09T08:59:00Z</dcterms:created>
  <dc:creator>微软用户</dc:creator>
  <cp:lastModifiedBy>WPS_1555414500</cp:lastModifiedBy>
  <cp:lastPrinted>2014-02-21T05:34:00Z</cp:lastPrinted>
  <dcterms:modified xsi:type="dcterms:W3CDTF">2026-09-09T08:12:23Z</dcterms:modified>
  <cp:revision>266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A9A0C9AB164F46D1A608B646488981EC_13</vt:lpwstr>
  </property>
  <property fmtid="{D5CDD505-2E9C-101B-9397-08002B2CF9AE}" pid="4" name="KSOTemplateDocerSaveRecord">
    <vt:lpwstr>eyJoZGlkIjoiNzI1MzljODBiNDliMzEyMzFlZWNlN2EzYjU0N2YzMWEiLCJ1c2VySWQiOiI1MjgxMTQ1NzcifQ==</vt:lpwstr>
  </property>
</Properties>
</file>