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8C077">
      <w:pPr>
        <w:spacing w:before="156" w:beforeLines="50" w:after="156" w:afterLines="50" w:line="400" w:lineRule="exact"/>
        <w:jc w:val="center"/>
        <w:rPr>
          <w:rFonts w:ascii="宋体" w:hAnsi="宋体"/>
          <w:iCs/>
          <w:color w:val="000000"/>
          <w:sz w:val="24"/>
        </w:rPr>
      </w:pPr>
      <w:r>
        <w:rPr>
          <w:rFonts w:hint="eastAsia" w:ascii="宋体" w:hAnsi="宋体"/>
          <w:iCs/>
          <w:color w:val="000000"/>
          <w:sz w:val="24"/>
        </w:rPr>
        <w:t>证券代码：601058                                         证券简称：赛轮轮胎</w:t>
      </w:r>
    </w:p>
    <w:p w14:paraId="71D35E32">
      <w:pPr>
        <w:spacing w:before="156" w:beforeLines="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赛轮集团</w:t>
      </w:r>
      <w:r>
        <w:rPr>
          <w:rFonts w:ascii="宋体" w:hAnsi="宋体"/>
          <w:b/>
          <w:bCs/>
          <w:iCs/>
          <w:color w:val="000000"/>
          <w:sz w:val="32"/>
          <w:szCs w:val="32"/>
        </w:rPr>
        <w:t>股份有限公司</w:t>
      </w:r>
    </w:p>
    <w:p w14:paraId="4BF0F88C">
      <w:pPr>
        <w:spacing w:before="156" w:beforeLines="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投资者关系活动记录表</w:t>
      </w:r>
    </w:p>
    <w:tbl>
      <w:tblPr>
        <w:tblStyle w:val="8"/>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7159"/>
      </w:tblGrid>
      <w:tr w14:paraId="4222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33B7E4F2">
            <w:pPr>
              <w:rPr>
                <w:bCs/>
                <w:iCs/>
                <w:color w:val="000000"/>
                <w:sz w:val="24"/>
              </w:rPr>
            </w:pPr>
            <w:r>
              <w:rPr>
                <w:rFonts w:hint="eastAsia" w:ascii="宋体" w:hAnsi="宋体" w:cs="宋体"/>
                <w:sz w:val="24"/>
              </w:rPr>
              <w:t>投资者关系活动类别</w:t>
            </w:r>
          </w:p>
        </w:tc>
        <w:tc>
          <w:tcPr>
            <w:tcW w:w="7159" w:type="dxa"/>
            <w:tcBorders>
              <w:top w:val="single" w:color="auto" w:sz="4" w:space="0"/>
              <w:left w:val="single" w:color="auto" w:sz="4" w:space="0"/>
              <w:bottom w:val="single" w:color="auto" w:sz="4" w:space="0"/>
              <w:right w:val="single" w:color="auto" w:sz="4" w:space="0"/>
            </w:tcBorders>
          </w:tcPr>
          <w:p w14:paraId="4972C3FA">
            <w:pPr>
              <w:rPr>
                <w:rFonts w:ascii="宋体" w:hAnsi="宋体" w:cs="宋体"/>
                <w:sz w:val="24"/>
              </w:rPr>
            </w:pPr>
            <w:r>
              <w:rPr>
                <w:rFonts w:hint="eastAsia" w:ascii="宋体" w:hAnsi="宋体" w:cs="宋体"/>
                <w:sz w:val="24"/>
              </w:rPr>
              <w:sym w:font="Wingdings 2" w:char="00A3"/>
            </w:r>
            <w:r>
              <w:rPr>
                <w:rFonts w:hint="eastAsia" w:ascii="宋体" w:hAnsi="宋体" w:cs="宋体"/>
                <w:sz w:val="24"/>
              </w:rPr>
              <w:t xml:space="preserve"> 特定对象调研        </w:t>
            </w:r>
            <w:r>
              <w:rPr>
                <w:rFonts w:hint="eastAsia" w:ascii="宋体" w:hAnsi="宋体" w:cs="宋体"/>
                <w:sz w:val="24"/>
              </w:rPr>
              <w:sym w:font="Wingdings 2" w:char="00A3"/>
            </w:r>
            <w:r>
              <w:rPr>
                <w:rFonts w:hint="eastAsia" w:ascii="宋体" w:hAnsi="宋体" w:cs="宋体"/>
                <w:sz w:val="24"/>
              </w:rPr>
              <w:t xml:space="preserve"> 分析师会议</w:t>
            </w:r>
          </w:p>
          <w:p w14:paraId="1C9115D8">
            <w:pPr>
              <w:rPr>
                <w:rFonts w:ascii="宋体" w:hAnsi="宋体" w:cs="宋体"/>
                <w:sz w:val="24"/>
              </w:rPr>
            </w:pPr>
            <w:r>
              <w:rPr>
                <w:rFonts w:hint="eastAsia" w:ascii="宋体" w:hAnsi="宋体" w:cs="宋体"/>
                <w:sz w:val="24"/>
              </w:rPr>
              <w:sym w:font="Wingdings 2" w:char="00A3"/>
            </w:r>
            <w:r>
              <w:rPr>
                <w:rFonts w:hint="eastAsia" w:ascii="宋体" w:hAnsi="宋体" w:cs="宋体"/>
                <w:sz w:val="24"/>
              </w:rPr>
              <w:t xml:space="preserve"> 媒体采访            </w:t>
            </w:r>
            <w:r>
              <w:rPr>
                <w:rFonts w:hint="eastAsia" w:ascii="宋体" w:hAnsi="宋体" w:cs="宋体"/>
                <w:sz w:val="24"/>
              </w:rPr>
              <w:sym w:font="Wingdings 2" w:char="0052"/>
            </w:r>
            <w:r>
              <w:rPr>
                <w:rFonts w:hint="eastAsia" w:ascii="宋体" w:hAnsi="宋体" w:cs="宋体"/>
                <w:sz w:val="24"/>
              </w:rPr>
              <w:t xml:space="preserve"> 业绩说明会</w:t>
            </w:r>
          </w:p>
          <w:p w14:paraId="05594B12">
            <w:pPr>
              <w:rPr>
                <w:rFonts w:ascii="宋体" w:hAnsi="宋体" w:cs="宋体"/>
                <w:sz w:val="24"/>
              </w:rPr>
            </w:pPr>
            <w:r>
              <w:rPr>
                <w:rFonts w:hint="eastAsia" w:ascii="宋体" w:hAnsi="宋体" w:cs="宋体"/>
                <w:sz w:val="24"/>
              </w:rPr>
              <w:sym w:font="Wingdings 2" w:char="00A3"/>
            </w:r>
            <w:r>
              <w:rPr>
                <w:rFonts w:hint="eastAsia" w:ascii="宋体" w:hAnsi="宋体" w:cs="宋体"/>
                <w:sz w:val="24"/>
              </w:rPr>
              <w:t xml:space="preserve"> 新闻发布会          </w:t>
            </w:r>
            <w:r>
              <w:rPr>
                <w:rFonts w:hint="eastAsia" w:ascii="宋体" w:hAnsi="宋体" w:cs="宋体"/>
                <w:sz w:val="24"/>
              </w:rPr>
              <w:sym w:font="Wingdings 2" w:char="00A3"/>
            </w:r>
            <w:r>
              <w:rPr>
                <w:rFonts w:hint="eastAsia" w:ascii="宋体" w:hAnsi="宋体" w:cs="宋体"/>
                <w:sz w:val="24"/>
              </w:rPr>
              <w:t xml:space="preserve"> 路演活动</w:t>
            </w:r>
          </w:p>
          <w:p w14:paraId="0FCF9323">
            <w:pPr>
              <w:rPr>
                <w:rFonts w:ascii="宋体" w:hAnsi="宋体" w:cs="宋体"/>
                <w:sz w:val="24"/>
              </w:rPr>
            </w:pPr>
            <w:r>
              <w:rPr>
                <w:rFonts w:hint="eastAsia" w:ascii="宋体" w:hAnsi="宋体" w:cs="宋体"/>
                <w:sz w:val="24"/>
              </w:rPr>
              <w:sym w:font="Wingdings 2" w:char="00A3"/>
            </w:r>
            <w:r>
              <w:rPr>
                <w:rFonts w:hint="eastAsia" w:ascii="宋体" w:hAnsi="宋体" w:cs="宋体"/>
                <w:sz w:val="24"/>
              </w:rPr>
              <w:t xml:space="preserve"> 现场参观</w:t>
            </w:r>
            <w:r>
              <w:rPr>
                <w:rFonts w:hint="eastAsia" w:ascii="宋体" w:hAnsi="宋体" w:cs="宋体"/>
                <w:sz w:val="24"/>
              </w:rPr>
              <w:tab/>
            </w:r>
          </w:p>
          <w:p w14:paraId="0A88E875">
            <w:pPr>
              <w:rPr>
                <w:bCs/>
                <w:iCs/>
                <w:color w:val="000000"/>
                <w:sz w:val="24"/>
              </w:rPr>
            </w:pPr>
            <w:r>
              <w:rPr>
                <w:rFonts w:hint="eastAsia" w:ascii="宋体" w:hAnsi="宋体" w:cs="宋体"/>
                <w:sz w:val="24"/>
              </w:rPr>
              <w:sym w:font="Wingdings 2" w:char="00A3"/>
            </w:r>
            <w:r>
              <w:rPr>
                <w:rFonts w:hint="eastAsia" w:ascii="宋体" w:hAnsi="宋体" w:cs="宋体"/>
                <w:sz w:val="24"/>
              </w:rPr>
              <w:t xml:space="preserve"> 其他：</w:t>
            </w:r>
            <w:r>
              <w:rPr>
                <w:rFonts w:ascii="宋体" w:hAnsi="宋体" w:cs="宋体"/>
                <w:sz w:val="24"/>
                <w:u w:val="single"/>
              </w:rPr>
              <w:t xml:space="preserve"> </w:t>
            </w:r>
            <w:r>
              <w:rPr>
                <w:rFonts w:hint="eastAsia" w:ascii="宋体" w:hAnsi="宋体" w:cs="宋体"/>
                <w:sz w:val="24"/>
                <w:u w:val="single"/>
              </w:rPr>
              <w:t xml:space="preserve">     </w:t>
            </w:r>
          </w:p>
        </w:tc>
      </w:tr>
      <w:tr w14:paraId="6E76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140F328D">
            <w:pPr>
              <w:rPr>
                <w:bCs/>
                <w:iCs/>
                <w:color w:val="000000"/>
                <w:kern w:val="0"/>
                <w:sz w:val="24"/>
              </w:rPr>
            </w:pPr>
            <w:r>
              <w:rPr>
                <w:rFonts w:hint="eastAsia" w:ascii="宋体" w:hAnsi="宋体" w:cs="宋体"/>
                <w:sz w:val="24"/>
              </w:rPr>
              <w:t>参与单位名称</w:t>
            </w:r>
          </w:p>
        </w:tc>
        <w:tc>
          <w:tcPr>
            <w:tcW w:w="7159" w:type="dxa"/>
            <w:tcBorders>
              <w:top w:val="single" w:color="auto" w:sz="4" w:space="0"/>
              <w:left w:val="single" w:color="auto" w:sz="4" w:space="0"/>
              <w:bottom w:val="single" w:color="auto" w:sz="4" w:space="0"/>
              <w:right w:val="single" w:color="auto" w:sz="4" w:space="0"/>
            </w:tcBorders>
            <w:vAlign w:val="center"/>
          </w:tcPr>
          <w:p w14:paraId="1E118B44">
            <w:pPr>
              <w:rPr>
                <w:rFonts w:hint="default" w:eastAsia="宋体"/>
                <w:bCs/>
                <w:iCs/>
                <w:color w:val="000000"/>
                <w:sz w:val="24"/>
                <w:lang w:val="en-US" w:eastAsia="zh-CN"/>
              </w:rPr>
            </w:pPr>
            <w:r>
              <w:rPr>
                <w:rFonts w:hint="eastAsia"/>
                <w:bCs/>
                <w:iCs/>
                <w:color w:val="000000"/>
                <w:sz w:val="24"/>
                <w:lang w:val="en-US" w:eastAsia="zh-CN"/>
              </w:rPr>
              <w:t>投资者</w:t>
            </w:r>
          </w:p>
        </w:tc>
      </w:tr>
      <w:tr w14:paraId="68C8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6FED42DB">
            <w:pPr>
              <w:rPr>
                <w:bCs/>
                <w:iCs/>
                <w:color w:val="000000"/>
                <w:kern w:val="0"/>
                <w:sz w:val="24"/>
              </w:rPr>
            </w:pPr>
            <w:r>
              <w:rPr>
                <w:rFonts w:hint="eastAsia" w:ascii="宋体" w:hAnsi="宋体" w:cs="宋体"/>
                <w:sz w:val="24"/>
              </w:rPr>
              <w:t>时间</w:t>
            </w:r>
          </w:p>
        </w:tc>
        <w:tc>
          <w:tcPr>
            <w:tcW w:w="7159" w:type="dxa"/>
            <w:tcBorders>
              <w:top w:val="single" w:color="auto" w:sz="4" w:space="0"/>
              <w:left w:val="single" w:color="auto" w:sz="4" w:space="0"/>
              <w:bottom w:val="single" w:color="auto" w:sz="4" w:space="0"/>
              <w:right w:val="single" w:color="auto" w:sz="4" w:space="0"/>
            </w:tcBorders>
          </w:tcPr>
          <w:p w14:paraId="6C6B3219">
            <w:pPr>
              <w:rPr>
                <w:rFonts w:hint="default" w:eastAsia="宋体"/>
                <w:bCs/>
                <w:iCs/>
                <w:color w:val="000000"/>
                <w:sz w:val="24"/>
                <w:lang w:val="en-US" w:eastAsia="zh-CN"/>
              </w:rPr>
            </w:pP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09</w:t>
            </w:r>
            <w:r>
              <w:rPr>
                <w:rFonts w:hint="eastAsia" w:ascii="宋体" w:hAnsi="宋体" w:cs="宋体"/>
                <w:sz w:val="24"/>
              </w:rPr>
              <w:t>月</w:t>
            </w:r>
            <w:r>
              <w:rPr>
                <w:rFonts w:hint="eastAsia" w:ascii="宋体" w:hAnsi="宋体" w:cs="宋体"/>
                <w:sz w:val="24"/>
                <w:lang w:val="en-US" w:eastAsia="zh-CN"/>
              </w:rPr>
              <w:t>09日下午 15:00~16:00</w:t>
            </w:r>
          </w:p>
        </w:tc>
      </w:tr>
      <w:tr w14:paraId="0FAB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7E25D48E">
            <w:pPr>
              <w:wordWrap w:val="0"/>
              <w:rPr>
                <w:bCs/>
                <w:iCs/>
                <w:color w:val="000000"/>
                <w:kern w:val="0"/>
                <w:sz w:val="24"/>
              </w:rPr>
            </w:pPr>
            <w:r>
              <w:rPr>
                <w:rFonts w:hint="eastAsia" w:ascii="宋体" w:hAnsi="宋体" w:cs="宋体"/>
                <w:sz w:val="24"/>
              </w:rPr>
              <w:t>地点</w:t>
            </w:r>
          </w:p>
        </w:tc>
        <w:tc>
          <w:tcPr>
            <w:tcW w:w="7159" w:type="dxa"/>
            <w:tcBorders>
              <w:top w:val="single" w:color="auto" w:sz="4" w:space="0"/>
              <w:left w:val="single" w:color="auto" w:sz="4" w:space="0"/>
              <w:bottom w:val="single" w:color="auto" w:sz="4" w:space="0"/>
              <w:right w:val="single" w:color="auto" w:sz="4" w:space="0"/>
            </w:tcBorders>
          </w:tcPr>
          <w:p w14:paraId="5EFDAC3C">
            <w:pPr>
              <w:wordWrap w:val="0"/>
              <w:rPr>
                <w:rFonts w:hint="eastAsia" w:ascii="宋体" w:hAnsi="宋体" w:cs="宋体"/>
                <w:sz w:val="24"/>
              </w:rPr>
            </w:pPr>
            <w:r>
              <w:rPr>
                <w:rFonts w:hint="eastAsia" w:ascii="宋体" w:hAnsi="宋体" w:cs="宋体"/>
                <w:sz w:val="24"/>
              </w:rPr>
              <w:t>上海证券交易所上证路演中心（网址：https://roadshow.sseinfo.com/）</w:t>
            </w:r>
          </w:p>
          <w:p w14:paraId="5588A724">
            <w:pPr>
              <w:wordWrap w:val="0"/>
              <w:rPr>
                <w:rFonts w:ascii="宋体" w:hAnsi="宋体" w:cs="宋体"/>
                <w:sz w:val="24"/>
              </w:rPr>
            </w:pPr>
            <w:r>
              <w:rPr>
                <w:rFonts w:hint="eastAsia" w:ascii="宋体" w:hAnsi="宋体" w:cs="宋体"/>
                <w:sz w:val="24"/>
              </w:rPr>
              <w:t>通过上证路演中心网络文字互动</w:t>
            </w:r>
          </w:p>
        </w:tc>
      </w:tr>
      <w:tr w14:paraId="4680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273B4662">
            <w:pPr>
              <w:rPr>
                <w:bCs/>
                <w:iCs/>
                <w:color w:val="000000"/>
                <w:kern w:val="0"/>
                <w:sz w:val="24"/>
              </w:rPr>
            </w:pPr>
            <w:r>
              <w:rPr>
                <w:rFonts w:hint="eastAsia" w:ascii="宋体" w:hAnsi="宋体" w:cs="宋体"/>
                <w:sz w:val="24"/>
              </w:rPr>
              <w:t>上市公司接待人员姓名</w:t>
            </w:r>
          </w:p>
        </w:tc>
        <w:tc>
          <w:tcPr>
            <w:tcW w:w="7159" w:type="dxa"/>
            <w:tcBorders>
              <w:top w:val="single" w:color="auto" w:sz="4" w:space="0"/>
              <w:left w:val="single" w:color="auto" w:sz="4" w:space="0"/>
              <w:bottom w:val="single" w:color="auto" w:sz="4" w:space="0"/>
              <w:right w:val="single" w:color="auto" w:sz="4" w:space="0"/>
            </w:tcBorders>
            <w:vAlign w:val="center"/>
          </w:tcPr>
          <w:p w14:paraId="1A2EF1BC">
            <w:pPr>
              <w:rPr>
                <w:rFonts w:hint="default" w:ascii="宋体" w:hAnsi="宋体" w:eastAsia="宋体" w:cs="宋体"/>
                <w:sz w:val="24"/>
                <w:lang w:val="en-US" w:eastAsia="zh-CN"/>
              </w:rPr>
            </w:pPr>
            <w:r>
              <w:rPr>
                <w:rFonts w:hint="eastAsia" w:ascii="宋体" w:hAnsi="宋体" w:cs="宋体"/>
                <w:sz w:val="24"/>
              </w:rPr>
              <w:t>1、</w:t>
            </w:r>
            <w:r>
              <w:rPr>
                <w:rFonts w:hint="eastAsia" w:ascii="宋体" w:hAnsi="宋体" w:cs="宋体"/>
                <w:sz w:val="24"/>
                <w:lang w:val="en-US" w:eastAsia="zh-CN"/>
              </w:rPr>
              <w:t>董事长 刘燕华</w:t>
            </w:r>
          </w:p>
          <w:p w14:paraId="23D0EF2D">
            <w:pPr>
              <w:rPr>
                <w:rFonts w:hint="eastAsia" w:ascii="宋体" w:hAnsi="宋体" w:cs="宋体"/>
                <w:sz w:val="24"/>
                <w:lang w:val="en-US" w:eastAsia="zh-CN"/>
              </w:rPr>
            </w:pPr>
            <w:r>
              <w:rPr>
                <w:rFonts w:hint="eastAsia" w:ascii="宋体" w:hAnsi="宋体" w:cs="宋体"/>
                <w:sz w:val="24"/>
                <w:lang w:val="en-US" w:eastAsia="zh-CN"/>
              </w:rPr>
              <w:t>2、</w:t>
            </w:r>
            <w:r>
              <w:rPr>
                <w:rFonts w:hint="eastAsia" w:ascii="宋体" w:hAnsi="宋体" w:cs="宋体"/>
                <w:sz w:val="24"/>
              </w:rPr>
              <w:t>董事、</w:t>
            </w:r>
            <w:r>
              <w:rPr>
                <w:rFonts w:hint="eastAsia" w:ascii="宋体" w:hAnsi="宋体" w:cs="宋体"/>
                <w:sz w:val="24"/>
                <w:lang w:val="en-US" w:eastAsia="zh-CN"/>
              </w:rPr>
              <w:t>董事会秘书</w:t>
            </w:r>
            <w:r>
              <w:rPr>
                <w:rFonts w:hint="eastAsia" w:ascii="宋体" w:hAnsi="宋体" w:cs="宋体"/>
                <w:sz w:val="24"/>
              </w:rPr>
              <w:t xml:space="preserve"> </w:t>
            </w:r>
            <w:r>
              <w:rPr>
                <w:rFonts w:hint="eastAsia" w:ascii="宋体" w:hAnsi="宋体" w:cs="宋体"/>
                <w:sz w:val="24"/>
                <w:lang w:val="en-US" w:eastAsia="zh-CN"/>
              </w:rPr>
              <w:t>李吉庆</w:t>
            </w:r>
          </w:p>
          <w:p w14:paraId="4EF17471">
            <w:pPr>
              <w:rPr>
                <w:rFonts w:hint="eastAsia" w:ascii="宋体" w:hAnsi="宋体" w:cs="宋体"/>
                <w:sz w:val="24"/>
                <w:lang w:val="en-US" w:eastAsia="zh-CN"/>
              </w:rPr>
            </w:pPr>
            <w:r>
              <w:rPr>
                <w:rFonts w:hint="eastAsia" w:ascii="宋体" w:hAnsi="宋体" w:cs="宋体"/>
                <w:sz w:val="24"/>
                <w:lang w:val="en-US" w:eastAsia="zh-CN"/>
              </w:rPr>
              <w:t>3、董事、常务副总裁、财务总监：耿明</w:t>
            </w:r>
          </w:p>
          <w:p w14:paraId="2AD783D7">
            <w:pPr>
              <w:rPr>
                <w:rFonts w:ascii="宋体" w:hAnsi="宋体"/>
                <w:bCs/>
                <w:sz w:val="24"/>
              </w:rPr>
            </w:pPr>
            <w:r>
              <w:rPr>
                <w:rFonts w:hint="eastAsia" w:ascii="宋体" w:hAnsi="宋体" w:cs="宋体"/>
                <w:sz w:val="24"/>
                <w:lang w:val="en-US" w:eastAsia="zh-CN"/>
              </w:rPr>
              <w:t>4、独立董事：鲍在山、权锡鉴、于培友</w:t>
            </w:r>
          </w:p>
        </w:tc>
      </w:tr>
      <w:tr w14:paraId="289B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68988215">
            <w:pPr>
              <w:spacing w:line="420" w:lineRule="exact"/>
              <w:rPr>
                <w:bCs/>
                <w:iCs/>
                <w:color w:val="000000"/>
                <w:sz w:val="24"/>
              </w:rPr>
            </w:pPr>
            <w:r>
              <w:rPr>
                <w:rFonts w:hAnsi="宋体"/>
                <w:bCs/>
                <w:iCs/>
                <w:color w:val="000000"/>
                <w:kern w:val="0"/>
                <w:sz w:val="24"/>
              </w:rPr>
              <w:t>投资者关系活动主要内容介绍</w:t>
            </w:r>
          </w:p>
        </w:tc>
        <w:tc>
          <w:tcPr>
            <w:tcW w:w="7159" w:type="dxa"/>
            <w:tcBorders>
              <w:top w:val="single" w:color="auto" w:sz="4" w:space="0"/>
              <w:left w:val="single" w:color="auto" w:sz="4" w:space="0"/>
              <w:bottom w:val="single" w:color="auto" w:sz="4" w:space="0"/>
              <w:right w:val="single" w:color="auto" w:sz="4" w:space="0"/>
            </w:tcBorders>
          </w:tcPr>
          <w:p w14:paraId="09596401">
            <w:pPr>
              <w:pStyle w:val="14"/>
              <w:spacing w:line="460" w:lineRule="exact"/>
              <w:ind w:firstLine="482" w:firstLineChars="200"/>
              <w:rPr>
                <w:rFonts w:hint="eastAsia" w:ascii="宋体" w:hAnsi="宋体" w:eastAsia="宋体"/>
                <w:sz w:val="24"/>
                <w:szCs w:val="24"/>
                <w:lang w:eastAsia="zh-CN"/>
              </w:rPr>
            </w:pPr>
            <w:r>
              <w:rPr>
                <w:rFonts w:hint="eastAsia" w:ascii="宋体" w:hAnsi="宋体"/>
                <w:b/>
                <w:bCs/>
                <w:sz w:val="24"/>
                <w:szCs w:val="24"/>
              </w:rPr>
              <w:t>投资者提出的主要问题及公司回复情况</w:t>
            </w:r>
            <w:r>
              <w:rPr>
                <w:rFonts w:hint="eastAsia" w:ascii="宋体" w:hAnsi="宋体"/>
                <w:b/>
                <w:bCs/>
                <w:sz w:val="24"/>
                <w:szCs w:val="24"/>
                <w:lang w:eastAsia="zh-CN"/>
              </w:rPr>
              <w:t>：</w:t>
            </w:r>
          </w:p>
          <w:p w14:paraId="3C751856">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赛轮2026年上半年非公路轮胎销量同比增长45%。金额多少？毛利率多少？在市场需求变化不大的情况之下，赛轮销量暴增的原因有哪些？公司2026年第二季度归母净利润同比大幅增长39.26%，显著高于一季度增速，能否拆解二季度利润加速的驱动因子？其中海外基地产能释放、产品提价、原材料成本回落分别贡献多大增量？下半年毛利率能否维持二季度27.1%的水平？今年上半年天然橡胶等原材料价格同比上行，行业整体呈现出口量增价弱的格局。请问公司当前产品调价传导周期大概多久？对于下半年海内外轮胎市场价格竞争、行业内卷加剧，公司有哪些措施保障净利率水平，实现利润增速持续跑赢营收增速？公司海外规划产能为国内轮胎企业最高，埃及、墨西哥、印尼项目正处在建设周期，在建工程余额达到28.27亿元。能否介绍埃及工厂最新投产进度、盈亏平衡点预期，以及该基地对于突破欧盟反倾销壁垒、深耕欧洲市场的实际贡献规划？液体黄金轮胎是公司核心技术壁垒，半年报未单独披露液体黄金轮胎产销量、营收占比与毛利率数据。能否介绍上半年液体黄金轮胎的市场推广进度、配套新能源车企落地情况</w:t>
            </w:r>
            <w:r>
              <w:rPr>
                <w:rFonts w:hint="eastAsia" w:ascii="宋体" w:hAnsi="宋体"/>
                <w:b/>
                <w:bCs/>
                <w:sz w:val="24"/>
                <w:szCs w:val="24"/>
                <w:lang w:val="en-US" w:eastAsia="zh-CN"/>
              </w:rPr>
              <w:t>。</w:t>
            </w:r>
          </w:p>
          <w:p w14:paraId="4DF84287">
            <w:pPr>
              <w:pStyle w:val="14"/>
              <w:numPr>
                <w:ilvl w:val="0"/>
                <w:numId w:val="0"/>
              </w:numPr>
              <w:spacing w:line="460" w:lineRule="exact"/>
              <w:ind w:left="0" w:leftChars="0" w:firstLine="480" w:firstLineChars="200"/>
              <w:rPr>
                <w:rFonts w:hint="eastAsia" w:ascii="宋体" w:hAnsi="宋体"/>
                <w:b/>
                <w:bCs/>
                <w:sz w:val="24"/>
                <w:szCs w:val="24"/>
                <w:lang w:val="en-US"/>
              </w:rPr>
            </w:pPr>
            <w:r>
              <w:rPr>
                <w:rFonts w:hint="eastAsia" w:ascii="宋体" w:hAnsi="宋体"/>
                <w:b w:val="0"/>
                <w:bCs w:val="0"/>
                <w:sz w:val="24"/>
                <w:szCs w:val="24"/>
                <w:lang w:val="en-US"/>
              </w:rPr>
              <w:t>答</w:t>
            </w:r>
            <w:r>
              <w:rPr>
                <w:rFonts w:hint="eastAsia" w:ascii="宋体" w:hAnsi="宋体"/>
                <w:b w:val="0"/>
                <w:bCs w:val="0"/>
                <w:sz w:val="24"/>
                <w:szCs w:val="24"/>
                <w:lang w:val="en-US" w:eastAsia="zh-CN"/>
              </w:rPr>
              <w:t>：尊敬的投资者，您好！非公路轮胎销量增长主要得益于公司产品品质获得了越来越多客户的认可及市场开拓成果逐步显现，上半年持续拓展必和必拓、淡水河谷、力拓等海外矿业客户，同时深化工程机械、农机主机配套，多重因素共同拉动销量提升。二季度利润提速来自成本顺价、产品结构优化等多重因素，海外印尼、墨西哥工厂产能持续提升。价格传导方面，不同品类、区域产品调价传导节奏存在差异，公司将依托全球产能，优化产品结构，以尽量减少因原材料成本上升给公司带来的不利影响。公司正在稳步推进埃及生产基地建设，建成后计划辐射埃及本地及欧洲、北美等市场客户；近年来，公司持续推进液体黄金轮胎的销售，其产品品质得到了广大消费者的认可。半钢配套方面，公司在国内市场持续深耕主流头部车企，除原有配套客户外，还获得了大众汽车多个项目定点，并实现对一汽红旗2026款HQ9 PHEV与H7 PHEV新车型轮胎配套供货，深化与比亚迪中高端体系的合作，并实现海狮06闪充版车型的配套供货。海外市场多点布局：东南亚区域持续深耕，实现对相关中资车企在越南、泰国生产基地的稳定供货与数量提升，同时还获得了多个印尼项目定点；在巴西已实现对车企的配套轮胎供货，并取得其他车企的项目定点，全球化配套体系持续完善。感谢您对公司的关注。</w:t>
            </w:r>
          </w:p>
          <w:p w14:paraId="1A56D7E2">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董事长您好，财报显示公司上半年营收和净利润均创历史新高，这离不开全球化战略的支撑。面对当前复杂的国际贸易环境（如欧盟双反调查、美国关税等），公司目前在越南、柬埔寨基地的产能已稳定释放，印尼、墨西哥基地正在爬坡，且近期又公告了埃及产能扩建项目。请问管理层对于海外各大基地的产能释放节奏有何具体规划？在应对未来潜在的贸易壁垒时，公司如何确保这些海外基地的盈利能力和订单稳定性？</w:t>
            </w:r>
          </w:p>
          <w:p w14:paraId="6CAD00D0">
            <w:pPr>
              <w:pStyle w:val="14"/>
              <w:numPr>
                <w:ilvl w:val="0"/>
                <w:numId w:val="0"/>
              </w:numPr>
              <w:spacing w:line="460" w:lineRule="exact"/>
              <w:ind w:firstLine="480" w:firstLineChars="200"/>
              <w:rPr>
                <w:rFonts w:hint="eastAsia" w:ascii="宋体" w:hAnsi="宋体"/>
                <w:b w:val="0"/>
                <w:bCs w:val="0"/>
                <w:sz w:val="24"/>
                <w:szCs w:val="24"/>
                <w:lang w:val="en-US"/>
              </w:rPr>
            </w:pPr>
            <w:r>
              <w:rPr>
                <w:rFonts w:hint="eastAsia" w:ascii="宋体" w:hAnsi="宋体"/>
                <w:b w:val="0"/>
                <w:bCs w:val="0"/>
                <w:sz w:val="24"/>
                <w:szCs w:val="24"/>
                <w:lang w:val="en-US" w:eastAsia="zh-CN"/>
              </w:rPr>
              <w:t>答：</w:t>
            </w:r>
            <w:r>
              <w:rPr>
                <w:rFonts w:hint="eastAsia" w:ascii="宋体" w:hAnsi="宋体"/>
                <w:b w:val="0"/>
                <w:bCs w:val="0"/>
                <w:sz w:val="24"/>
                <w:szCs w:val="24"/>
                <w:lang w:val="en-US"/>
              </w:rPr>
              <w:t>尊敬的投资者，您好！公司根据全球轮胎市场发展趋势及全球化发展战略，正稳步推进海外基地产能建设，并尽量做好产能释放后的项目运营。后期，公司将密切关注全球政治经济环境、原材料与物流成本变动等情况，借助全球化生产与销售布局的优势，合理把握采购节奏和销售策略，以获得更好的经济效益。感谢您对公司的关注。</w:t>
            </w:r>
          </w:p>
          <w:p w14:paraId="1D3EBC8E">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董事长，我注意到公司上半年在新能源汽车配套领域取得了显著突破，成功配套了比亚迪、红旗、大众等多家主流车企。在当前国内轮胎行业竞争加剧、向“品牌出海”转型的关键期，公司在高端半钢胎和全钢胎领域的长期竞争壁垒是什么？未来在提升全球品牌溢价能力方面还有哪些核心举措？</w:t>
            </w:r>
          </w:p>
          <w:p w14:paraId="0C8B93F0">
            <w:pPr>
              <w:pStyle w:val="14"/>
              <w:numPr>
                <w:ilvl w:val="0"/>
                <w:numId w:val="0"/>
              </w:numPr>
              <w:spacing w:line="460" w:lineRule="exact"/>
              <w:ind w:firstLine="480" w:firstLineChars="200"/>
              <w:rPr>
                <w:rFonts w:hint="eastAsia" w:ascii="宋体" w:hAnsi="宋体"/>
                <w:b w:val="0"/>
                <w:bCs w:val="0"/>
                <w:sz w:val="24"/>
                <w:szCs w:val="24"/>
                <w:lang w:val="en-US"/>
              </w:rPr>
            </w:pPr>
            <w:r>
              <w:rPr>
                <w:rFonts w:hint="eastAsia" w:ascii="宋体" w:hAnsi="宋体"/>
                <w:b w:val="0"/>
                <w:bCs w:val="0"/>
                <w:sz w:val="24"/>
                <w:szCs w:val="24"/>
                <w:lang w:val="en-US" w:eastAsia="zh-CN"/>
              </w:rPr>
              <w:t>答：</w:t>
            </w:r>
            <w:r>
              <w:rPr>
                <w:rFonts w:hint="eastAsia" w:ascii="宋体" w:hAnsi="宋体"/>
                <w:b w:val="0"/>
                <w:bCs w:val="0"/>
                <w:sz w:val="24"/>
                <w:szCs w:val="24"/>
                <w:lang w:val="en-US"/>
              </w:rPr>
              <w:t>尊敬的投资者，您好！今年上半年，公司加大品牌资源投放力度，通过品牌宣传、高端赛事、行业展会等举措，落地多项高端品牌传播项目。液体黄金系列产品市场口碑持续走高，国内外高端品牌认知度稳步提升。公司始终重视企业品牌提升，后期还会根据市场实际情况不断加大市场推广力度,提升公司品牌认知度。感谢您对公司的关注。</w:t>
            </w:r>
          </w:p>
          <w:p w14:paraId="56FDF014">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财务总监您好，财报显示公司上半年财务费用高达4.57亿元，同比大幅增长429.7%，其中汇兑损失达到2.42亿元（去年同期为汇兑收益1.36亿元）。在人民币升值及海外业务扩大的背景下，公司目前采取了哪些具体的汇率风险对冲工具或策略？下半年在汇率波动预期下，财务部门有何应对预案以保护主业利润？</w:t>
            </w:r>
          </w:p>
          <w:p w14:paraId="010FCE0E">
            <w:pPr>
              <w:pStyle w:val="14"/>
              <w:numPr>
                <w:ilvl w:val="0"/>
                <w:numId w:val="0"/>
              </w:numPr>
              <w:spacing w:line="460" w:lineRule="exact"/>
              <w:ind w:firstLine="480" w:firstLineChars="200"/>
              <w:rPr>
                <w:rFonts w:hint="eastAsia" w:ascii="宋体" w:hAnsi="宋体"/>
                <w:b/>
                <w:bCs/>
                <w:sz w:val="24"/>
                <w:szCs w:val="24"/>
                <w:lang w:val="en-US"/>
              </w:rPr>
            </w:pPr>
            <w:r>
              <w:rPr>
                <w:rFonts w:hint="eastAsia" w:ascii="宋体" w:hAnsi="宋体"/>
                <w:b w:val="0"/>
                <w:bCs w:val="0"/>
                <w:sz w:val="24"/>
                <w:szCs w:val="24"/>
                <w:lang w:val="en-US" w:eastAsia="zh-CN"/>
              </w:rPr>
              <w:t>答：</w:t>
            </w:r>
            <w:r>
              <w:rPr>
                <w:rFonts w:hint="eastAsia" w:ascii="宋体" w:hAnsi="宋体"/>
                <w:b w:val="0"/>
                <w:bCs w:val="0"/>
                <w:sz w:val="24"/>
                <w:szCs w:val="24"/>
                <w:lang w:val="en-US"/>
              </w:rPr>
              <w:t>尊敬的投资者，您好！公司近几年一直开展外汇套期保值业务，该业务坚持风险中性原则，不以投机为目的，按外汇市场波动情况，采用一定比例与相关往来款风险敞口匹配做远期套保，从而减轻汇率波动对公司经营造成的不利影响。感谢您对公司的关注。</w:t>
            </w:r>
          </w:p>
          <w:p w14:paraId="11F485B6">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总监您好，二季度以来受地缘冲突等因素影响，天然橡胶、合成橡胶及炭黑等原材料价格出现明显上涨。但令人振奋的是，公司二季度毛利率依然实现了环比和同比的双提升。请问这主要归功于产品结构的优化（如高毛利非公路轮胎放量）还是成功向下游传导了成本？面对未来可能持续的原材料高位运行，公司目前的库存策略和采购机制是如何平滑成本波动的？</w:t>
            </w:r>
          </w:p>
          <w:p w14:paraId="388B6F36">
            <w:pPr>
              <w:pStyle w:val="14"/>
              <w:numPr>
                <w:ilvl w:val="0"/>
                <w:numId w:val="0"/>
              </w:numPr>
              <w:spacing w:line="460" w:lineRule="exact"/>
              <w:ind w:firstLine="480" w:firstLineChars="200"/>
              <w:rPr>
                <w:rFonts w:hint="eastAsia" w:ascii="宋体" w:hAnsi="宋体"/>
                <w:b/>
                <w:bCs/>
                <w:sz w:val="24"/>
                <w:szCs w:val="24"/>
                <w:lang w:val="en-US"/>
              </w:rPr>
            </w:pPr>
            <w:r>
              <w:rPr>
                <w:rFonts w:hint="eastAsia" w:ascii="宋体" w:hAnsi="宋体"/>
                <w:b w:val="0"/>
                <w:bCs w:val="0"/>
                <w:sz w:val="24"/>
                <w:szCs w:val="24"/>
                <w:lang w:val="en-US" w:eastAsia="zh-CN"/>
              </w:rPr>
              <w:t>答：尊敬的投资者，您好！毛利率提升主要得益于海外市场持续拓展、产品销售结构进一步优化；同时公司成本传导机制落地效果基本符合预期。公司日常会根据各类原材料的市场情况以及需求计划灵活制定具体采购策略，并综合生产成本及市场需求等因素视情况确定价格调整策略，以尽量减少原材料价格波动对公司带来的不利影响。感谢您对公司的关注。</w:t>
            </w:r>
          </w:p>
          <w:p w14:paraId="509F674C">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总监，我关注到上半年公司计提了约2.29亿元的存货跌价准备，且主要集中在二季度。请问这部分减值的具体构成是什么？在当前海外多个基地密集资本开支的背景下，公司目前52亿元的货币资金储备是否足以支撑后续的产能建设？未来在资本开支与股东回报（如分红或回购）之间，公司有何平衡考量？</w:t>
            </w:r>
          </w:p>
          <w:p w14:paraId="345400C2">
            <w:pPr>
              <w:pStyle w:val="14"/>
              <w:numPr>
                <w:ilvl w:val="0"/>
                <w:numId w:val="0"/>
              </w:numPr>
              <w:spacing w:line="460" w:lineRule="exact"/>
              <w:ind w:firstLine="480" w:firstLineChars="200"/>
              <w:rPr>
                <w:rFonts w:hint="eastAsia" w:ascii="宋体" w:hAnsi="宋体"/>
                <w:b w:val="0"/>
                <w:bCs w:val="0"/>
                <w:sz w:val="24"/>
                <w:szCs w:val="24"/>
                <w:lang w:val="en-US"/>
              </w:rPr>
            </w:pPr>
            <w:r>
              <w:rPr>
                <w:rFonts w:hint="eastAsia" w:ascii="宋体" w:hAnsi="宋体"/>
                <w:b w:val="0"/>
                <w:bCs w:val="0"/>
                <w:sz w:val="24"/>
                <w:szCs w:val="24"/>
                <w:lang w:val="en-US" w:eastAsia="zh-CN"/>
              </w:rPr>
              <w:t>答：</w:t>
            </w:r>
            <w:r>
              <w:rPr>
                <w:rFonts w:hint="eastAsia" w:ascii="宋体" w:hAnsi="宋体"/>
                <w:b w:val="0"/>
                <w:bCs w:val="0"/>
                <w:sz w:val="24"/>
                <w:szCs w:val="24"/>
                <w:lang w:val="en-US"/>
              </w:rPr>
              <w:t>尊敬的投资者，您好！存货跌价准备系公司按照企业会计准则结合存货状态正常计提。目前公司各在建项目均按规划分批投入资金，公司将结合现金流情况、融资安排统筹保障项目建设资金需求。公司高度重视投资者回报，严格按照《公司章程》《股东回报规划》要求，统筹平衡长期产能资本开支与股东回报，结合经营实际、项目资金需求制定利润分配方案。感谢您对公司的关注。</w:t>
            </w:r>
          </w:p>
          <w:p w14:paraId="4D34E952">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董秘您好，公司上半年推出了每股派现0.15元的利润分配预案，展现了回馈股东的诚意。结合公司目前的经营现金流和未分配利润情况，请问公司在《股东回报规划（2025-2027年）》框架下，未来是否会考虑进一步提高现金分红比例，或者探索股份回购等多元化市值管理工具，以增强中小股东的获得感？</w:t>
            </w:r>
          </w:p>
          <w:p w14:paraId="0A6AA9B6">
            <w:pPr>
              <w:pStyle w:val="14"/>
              <w:numPr>
                <w:ilvl w:val="0"/>
                <w:numId w:val="0"/>
              </w:numPr>
              <w:spacing w:line="460" w:lineRule="exact"/>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答：尊敬的投资者，您好！公司高度重视投资者回报，始终坚持连续、稳定的利润分配政策，今年上半年，公司向全体股东合计派发现金红利4.93亿元，这也是公司连续第三年推出中期分红方案。未来，公司将尽力做好生产经营，不断提升公司盈利能力和竞争力，并严格按照《公司章程》《市值管理制度》《股东回报规划》等要求，结合公司实际情况提出让广大投资者满意的利润分配方案。感谢您对公司的关注。</w:t>
            </w:r>
          </w:p>
          <w:p w14:paraId="5A620B3C">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董秘，公司上半年MSCI ESG评级提升至AA级，且通过了SBTi科学碳目标验证，这在国内轮胎企业中非常领先。请问公司在向资本市场传递ESG价值方面有哪些具体规划？未来是否会考虑发布单独的ESG报告或举办ESG专场路演，以吸引注重可持续发展的长期机构投资者？</w:t>
            </w:r>
          </w:p>
          <w:p w14:paraId="45594651">
            <w:pPr>
              <w:pStyle w:val="14"/>
              <w:numPr>
                <w:ilvl w:val="0"/>
                <w:numId w:val="0"/>
              </w:numPr>
              <w:spacing w:line="460" w:lineRule="exact"/>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答：尊敬的投资者，您好！公司 MSCI ESG 评级提升至 AA 级、成为中国轮胎行业首家通过 SBTi 科学碳目标验证的企业，是公司 “eco+” 可持续发展战略落地的具体成果，代表国际资本市场对公司 ESG 实践的认可。围绕向资本市场传递 ESG 价值方面，公司将持续完善ESG信息披露体系，做好第三方机构鉴证，在围绕环境、社会、治理三大维度做出更多的实践工作与亮眼表现，提升披露颗粒度与国际化水平，充分回应机构投资者的研究需求。公司近年来持续发布单独的《可持续发展报告》，未来也会持续优化报告的内容深度与呈现形式，计划增加更多行业特色议题与量化指标，以更好地满足各专业机构需求。另外，公司还将持续跟踪长期机构投资者的沟通诉求，适时开展ESG专项路演沟通等活动，向注重长期价值的可持续投资者系统传递公司长期成长逻辑。感谢您对公司的关注。</w:t>
            </w:r>
          </w:p>
          <w:p w14:paraId="1E73739C">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董秘您好，8月份公司密集接待了多家机构调研。在当前行业业绩分化、部分同行因汇率或关税利润承压的市场环境下，公司如何通过更透明、高频的信息披露，引导市场理性看待短期外部扰动（如汇兑损失），更加聚焦公司主业长期向好的基本面？</w:t>
            </w:r>
          </w:p>
          <w:p w14:paraId="215FDC29">
            <w:pPr>
              <w:pStyle w:val="14"/>
              <w:numPr>
                <w:ilvl w:val="0"/>
                <w:numId w:val="0"/>
              </w:numPr>
              <w:spacing w:line="460" w:lineRule="exact"/>
              <w:ind w:firstLine="480" w:firstLineChars="200"/>
              <w:rPr>
                <w:rFonts w:hint="eastAsia" w:ascii="宋体" w:hAnsi="宋体"/>
                <w:b w:val="0"/>
                <w:bCs w:val="0"/>
                <w:sz w:val="24"/>
                <w:szCs w:val="24"/>
                <w:lang w:val="en-US"/>
              </w:rPr>
            </w:pPr>
            <w:r>
              <w:rPr>
                <w:rFonts w:hint="eastAsia" w:ascii="宋体" w:hAnsi="宋体"/>
                <w:b w:val="0"/>
                <w:bCs w:val="0"/>
                <w:sz w:val="24"/>
                <w:szCs w:val="24"/>
                <w:lang w:val="en-US" w:eastAsia="zh-CN"/>
              </w:rPr>
              <w:t>答：</w:t>
            </w:r>
            <w:r>
              <w:rPr>
                <w:rFonts w:hint="eastAsia" w:ascii="宋体" w:hAnsi="宋体"/>
                <w:b w:val="0"/>
                <w:bCs w:val="0"/>
                <w:sz w:val="24"/>
                <w:szCs w:val="24"/>
                <w:lang w:val="en-US"/>
              </w:rPr>
              <w:t>尊敬的投资者，您好！公司严格按照监管规定要求，真实、准确、完整、及时、公平履行信息披露义务。公司依托定期报告、投资者关系活动记录表、业绩说明会、机构调研、上证e互动等合规渠道开展投资者沟通，客观披露公司生产经营、全球化布局、汇率风控等相关情况。感谢您对公司的关注。</w:t>
            </w:r>
          </w:p>
          <w:p w14:paraId="6C8018F3">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独立董事您好，随着公司全球化布局加速，海外子公司（如越南、柬埔寨、印尼等）的资产规模和利润贡献占比越来越大。请问独立董事及审计委员会在监督海外子公司的内部控制、资金合规使用以及防范跨境经营风险方面，履行了哪些具体的监督职责？如何确保海外资产的安全与高效运营？</w:t>
            </w:r>
          </w:p>
          <w:p w14:paraId="317DC111">
            <w:pPr>
              <w:pStyle w:val="14"/>
              <w:numPr>
                <w:ilvl w:val="0"/>
                <w:numId w:val="0"/>
              </w:numPr>
              <w:spacing w:line="460" w:lineRule="exact"/>
              <w:ind w:firstLine="480" w:firstLineChars="200"/>
              <w:rPr>
                <w:rFonts w:hint="eastAsia" w:ascii="宋体" w:hAnsi="宋体"/>
                <w:b w:val="0"/>
                <w:bCs w:val="0"/>
                <w:sz w:val="24"/>
                <w:szCs w:val="24"/>
                <w:lang w:val="en-US"/>
              </w:rPr>
            </w:pPr>
            <w:r>
              <w:rPr>
                <w:rFonts w:hint="eastAsia" w:ascii="宋体" w:hAnsi="宋体"/>
                <w:b w:val="0"/>
                <w:bCs w:val="0"/>
                <w:sz w:val="24"/>
                <w:szCs w:val="24"/>
                <w:lang w:val="en-US" w:eastAsia="zh-CN"/>
              </w:rPr>
              <w:t>答：</w:t>
            </w:r>
            <w:r>
              <w:rPr>
                <w:rFonts w:hint="eastAsia" w:ascii="宋体" w:hAnsi="宋体"/>
                <w:b w:val="0"/>
                <w:bCs w:val="0"/>
                <w:sz w:val="24"/>
                <w:szCs w:val="24"/>
                <w:lang w:val="en-US"/>
              </w:rPr>
              <w:t>尊敬的投资者，您好！作为独立董事及审计委员会主任委员，我将严格按照监管要求履职，日常会认真审阅海外投资相关材料，并通过与公司管理层讨论沟通等方式，仔细核查决策程序合规性，以进一步保护公司海外资产安全及提高运营效率。感谢您对公司的关注。</w:t>
            </w:r>
          </w:p>
          <w:p w14:paraId="3D9CBEA1">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独立董事您好，作为中小股东的代表，我们非常关注公司的利润分配政策。上半年公司归母净利润达21.6亿元，拟派发现金红利约4.93亿元，分红比例约占净利润的22.84%。请问独立董事在审议该利润分配预案时，是如何综合评估公司未来资本开支需求与股东当期回报诉求的？在保障中小股东合法权益、推动建立常态化分红机制方面，独董发挥了怎样的作用？</w:t>
            </w:r>
          </w:p>
          <w:p w14:paraId="0B1B95C0">
            <w:pPr>
              <w:pStyle w:val="14"/>
              <w:numPr>
                <w:ilvl w:val="0"/>
                <w:numId w:val="0"/>
              </w:numPr>
              <w:spacing w:line="460" w:lineRule="exact"/>
              <w:ind w:firstLine="480" w:firstLineChars="200"/>
              <w:rPr>
                <w:rFonts w:hint="eastAsia" w:ascii="宋体" w:hAnsi="宋体"/>
                <w:b/>
                <w:bCs/>
                <w:sz w:val="24"/>
                <w:szCs w:val="24"/>
                <w:lang w:val="en-US"/>
              </w:rPr>
            </w:pPr>
            <w:r>
              <w:rPr>
                <w:rFonts w:hint="eastAsia" w:ascii="宋体" w:hAnsi="宋体"/>
                <w:b w:val="0"/>
                <w:bCs w:val="0"/>
                <w:sz w:val="24"/>
                <w:szCs w:val="24"/>
                <w:lang w:val="en-US" w:eastAsia="zh-CN"/>
              </w:rPr>
              <w:t>答：</w:t>
            </w:r>
            <w:r>
              <w:rPr>
                <w:rFonts w:hint="eastAsia" w:ascii="宋体" w:hAnsi="宋体"/>
                <w:b w:val="0"/>
                <w:bCs w:val="0"/>
                <w:sz w:val="24"/>
                <w:szCs w:val="24"/>
                <w:lang w:val="en-US"/>
              </w:rPr>
              <w:t>尊敬的投资者，您好！本次董事会审议利润分配方案时，我们独立董事参与讨论，综合研判公司未来资本开支、现金流情况，同时兼顾中小股东回报诉求，平衡长期发展与当期分红。在保护中小股东权益、推动常态化分红机制建设方面，我们重点监督分红方案论证与信息披露，持续推动公司分红政策稳定可预期，保障中小股东知情权，维护中小股东合法权益。感谢您对公司的关注。</w:t>
            </w:r>
          </w:p>
          <w:p w14:paraId="37A5DB33">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独立董事您好，公司正大力推进“四个一体化”战略及高端化、可持续发展路线。在当前复杂的国际贸易摩擦背景下，请问独立董事及董事会专门委员会在评估公司海外重大投资（如埃及扩建项目）的合规性、地缘政治风险以及ESG目标达成情况时，建立了怎样的风险预警和评估机制？如何确保公司的长期战略不偏离合规与可持续发展的轨道？</w:t>
            </w:r>
          </w:p>
          <w:p w14:paraId="62C6420B">
            <w:pPr>
              <w:pStyle w:val="14"/>
              <w:numPr>
                <w:ilvl w:val="0"/>
                <w:numId w:val="0"/>
              </w:numPr>
              <w:spacing w:line="460" w:lineRule="exact"/>
              <w:ind w:firstLine="480" w:firstLineChars="200"/>
              <w:rPr>
                <w:rFonts w:hint="eastAsia" w:ascii="宋体" w:hAnsi="宋体"/>
                <w:b w:val="0"/>
                <w:bCs w:val="0"/>
                <w:sz w:val="24"/>
                <w:szCs w:val="24"/>
                <w:lang w:val="en-US"/>
              </w:rPr>
            </w:pPr>
            <w:r>
              <w:rPr>
                <w:rFonts w:hint="eastAsia" w:ascii="宋体" w:hAnsi="宋体"/>
                <w:b w:val="0"/>
                <w:bCs w:val="0"/>
                <w:sz w:val="24"/>
                <w:szCs w:val="24"/>
                <w:lang w:val="en-US" w:eastAsia="zh-CN"/>
              </w:rPr>
              <w:t>答：</w:t>
            </w:r>
            <w:r>
              <w:rPr>
                <w:rFonts w:hint="eastAsia" w:ascii="宋体" w:hAnsi="宋体"/>
                <w:b w:val="0"/>
                <w:bCs w:val="0"/>
                <w:sz w:val="24"/>
                <w:szCs w:val="24"/>
                <w:lang w:val="en-US"/>
              </w:rPr>
              <w:t>尊敬的投资者，您好！感谢您对公司海外投资与可持续发展的关注。在公司“四个一体化”战略路线指引下，公司建立了全面的海外投资风险评估与合规管控机制，确保海外项目始终贴合公司长期战略，不偏离合规与可持续发展轨道，公司董事会作为最高决策机构，授权战略与可持续发展委员会负责海外重大投资的审议。在项目前期组成跨职能团队，开展项目可行性研究，为确保海外项目长期不偏离合规与可持续发展轨道，公司将海外工厂的单位产品能耗、碳排放、可持续材料应用纳入集团整体绩效考核体系，与项目团队及管理层薪酬直接挂钩，确保项目运营落地集团 “eco+” 可持续发展战略要求。</w:t>
            </w:r>
          </w:p>
          <w:p w14:paraId="1180A6E8">
            <w:pPr>
              <w:pStyle w:val="14"/>
              <w:numPr>
                <w:ilvl w:val="0"/>
                <w:numId w:val="0"/>
              </w:numPr>
              <w:spacing w:line="460" w:lineRule="exact"/>
              <w:ind w:firstLine="480" w:firstLineChars="200"/>
              <w:rPr>
                <w:rFonts w:hint="eastAsia" w:ascii="宋体" w:hAnsi="宋体"/>
                <w:b w:val="0"/>
                <w:bCs w:val="0"/>
                <w:sz w:val="24"/>
                <w:szCs w:val="24"/>
                <w:lang w:val="en-US"/>
              </w:rPr>
            </w:pPr>
            <w:r>
              <w:rPr>
                <w:rFonts w:hint="eastAsia" w:ascii="宋体" w:hAnsi="宋体"/>
                <w:b w:val="0"/>
                <w:bCs w:val="0"/>
                <w:sz w:val="24"/>
                <w:szCs w:val="24"/>
                <w:lang w:val="en-US"/>
              </w:rPr>
              <w:t>所有海外生产基地均执行集团统一的环境、安全、质量与社会责任管理体系，要求同步通过 ISO14001 环境管理体系、ISO50001 能源管理体系、SA8000 社会责任体系等国际认证，确保全球工厂 ESG 标准一致，保障公司长期战略始终沿着合规与可持续发展的方向推进。感谢您对公司的关注。</w:t>
            </w:r>
          </w:p>
          <w:p w14:paraId="2B59F4E7">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刘董您好！我是《华夏时报》记者，请问管理层：2026年上半年行业原材料价格全面暴涨，多数同行毛利率大幅承压、净利润暴跌，但赛轮轮胎毛利率缺逆势提升2.3个百分点、净利润同比增长18%，主要原因是什么？公司上半年营收同比增长13.63%，其中柬埔寨、越南两大海外基地上半年合计营收90.5亿，贡献超80%利润。请问公司是否会持续优化东南亚产能布局？后续是否会调整海内外产能配比、进一步规避贸易壁垒？上半年公司产生2.42亿汇兑损失，财务费用同比激增429.7%。下半年人民币汇率波动背景下，公司对于下半年的整体营收有什么判断，如何进一步优化对冲策略，降低汇兑损益对利润的影响？</w:t>
            </w:r>
          </w:p>
          <w:p w14:paraId="5DCD4AA9">
            <w:pPr>
              <w:pStyle w:val="14"/>
              <w:numPr>
                <w:ilvl w:val="0"/>
                <w:numId w:val="0"/>
              </w:numPr>
              <w:spacing w:line="460" w:lineRule="exact"/>
              <w:ind w:firstLine="480" w:firstLineChars="200"/>
              <w:rPr>
                <w:rFonts w:hint="eastAsia" w:ascii="宋体" w:hAnsi="宋体"/>
                <w:b w:val="0"/>
                <w:bCs w:val="0"/>
                <w:sz w:val="24"/>
                <w:szCs w:val="24"/>
                <w:lang w:val="en-US"/>
              </w:rPr>
            </w:pPr>
            <w:r>
              <w:rPr>
                <w:rFonts w:hint="eastAsia" w:ascii="宋体" w:hAnsi="宋体"/>
                <w:b w:val="0"/>
                <w:bCs w:val="0"/>
                <w:sz w:val="24"/>
                <w:szCs w:val="24"/>
                <w:lang w:val="en-US" w:eastAsia="zh-CN"/>
              </w:rPr>
              <w:t>答：</w:t>
            </w:r>
            <w:r>
              <w:rPr>
                <w:rFonts w:hint="eastAsia" w:ascii="宋体" w:hAnsi="宋体"/>
                <w:b w:val="0"/>
                <w:bCs w:val="0"/>
                <w:sz w:val="24"/>
                <w:szCs w:val="24"/>
                <w:lang w:val="en-US"/>
              </w:rPr>
              <w:t>尊敬的记者朋友，您好！公司上半年毛利率提升来自于成本顺价、产品结构优化等多重因素。公司坚持全球化战略，日常经营中会根据市场需求、贸易环境变化等因素适当调整国内外各基地的生产安排，以此应对国际贸易壁垒影响。公司近几年一直开展外汇套期保值业务，该业务坚持风险中性原则，不以投机为目的，按外汇市场波动情况，采用一定比例与相关往来款风险敞口匹配做远期套保，从而减轻汇率波动对公司经营造成的不利影响。感谢您对公司的关注。</w:t>
            </w:r>
          </w:p>
          <w:p w14:paraId="302E794A">
            <w:pPr>
              <w:pStyle w:val="14"/>
              <w:numPr>
                <w:ilvl w:val="0"/>
                <w:numId w:val="1"/>
              </w:numPr>
              <w:spacing w:line="460" w:lineRule="exact"/>
              <w:ind w:left="-2" w:leftChars="-1" w:firstLine="482"/>
              <w:rPr>
                <w:rFonts w:hint="eastAsia" w:ascii="宋体" w:hAnsi="宋体"/>
                <w:b/>
                <w:bCs/>
                <w:sz w:val="24"/>
                <w:szCs w:val="24"/>
                <w:lang w:val="en-US"/>
              </w:rPr>
            </w:pPr>
            <w:r>
              <w:rPr>
                <w:rFonts w:hint="eastAsia" w:ascii="宋体" w:hAnsi="宋体"/>
                <w:b/>
                <w:bCs/>
                <w:sz w:val="24"/>
                <w:szCs w:val="24"/>
                <w:lang w:val="en-US"/>
              </w:rPr>
              <w:t>请问埃及工厂预计何时投产？谢谢</w:t>
            </w:r>
          </w:p>
          <w:p w14:paraId="61D11450">
            <w:pPr>
              <w:pStyle w:val="14"/>
              <w:numPr>
                <w:ilvl w:val="0"/>
                <w:numId w:val="0"/>
              </w:numPr>
              <w:spacing w:line="460" w:lineRule="exact"/>
              <w:ind w:firstLine="480" w:firstLineChars="200"/>
              <w:rPr>
                <w:rFonts w:hint="eastAsia" w:ascii="宋体" w:hAnsi="宋体"/>
                <w:b w:val="0"/>
                <w:bCs w:val="0"/>
                <w:sz w:val="24"/>
                <w:szCs w:val="24"/>
                <w:lang w:val="en-US"/>
              </w:rPr>
            </w:pPr>
            <w:r>
              <w:rPr>
                <w:rFonts w:hint="eastAsia" w:ascii="宋体" w:hAnsi="宋体"/>
                <w:b w:val="0"/>
                <w:bCs w:val="0"/>
                <w:sz w:val="24"/>
                <w:szCs w:val="24"/>
                <w:lang w:val="en-US" w:eastAsia="zh-CN"/>
              </w:rPr>
              <w:t>答：</w:t>
            </w:r>
            <w:r>
              <w:rPr>
                <w:rFonts w:hint="eastAsia" w:ascii="宋体" w:hAnsi="宋体"/>
                <w:b w:val="0"/>
                <w:bCs w:val="0"/>
                <w:sz w:val="24"/>
                <w:szCs w:val="24"/>
                <w:lang w:val="en-US"/>
              </w:rPr>
              <w:t>尊敬的投资者，您好！公司正在按计划推进埃及项目的建设，预计年内可实现投产。感谢您对公司的关注。</w:t>
            </w:r>
          </w:p>
          <w:p w14:paraId="402CD759">
            <w:pPr>
              <w:pStyle w:val="14"/>
              <w:numPr>
                <w:ilvl w:val="0"/>
                <w:numId w:val="1"/>
              </w:numPr>
              <w:spacing w:line="460" w:lineRule="exact"/>
              <w:ind w:left="-2" w:leftChars="-1" w:firstLine="482"/>
              <w:rPr>
                <w:rFonts w:hint="default" w:ascii="宋体" w:hAnsi="宋体"/>
                <w:b/>
                <w:bCs/>
                <w:sz w:val="24"/>
                <w:szCs w:val="24"/>
                <w:lang w:val="en-US" w:eastAsia="zh-CN"/>
              </w:rPr>
            </w:pPr>
            <w:r>
              <w:rPr>
                <w:rFonts w:hint="default" w:ascii="宋体" w:hAnsi="宋体"/>
                <w:b/>
                <w:bCs/>
                <w:sz w:val="24"/>
                <w:szCs w:val="24"/>
                <w:lang w:val="en-US" w:eastAsia="zh-CN"/>
              </w:rPr>
              <w:t>请介绍一下今年上半年公司的经营情况，谢谢。</w:t>
            </w:r>
          </w:p>
          <w:p w14:paraId="0533EFCD">
            <w:pPr>
              <w:pStyle w:val="14"/>
              <w:spacing w:line="460" w:lineRule="exact"/>
              <w:ind w:left="-2" w:leftChars="-1" w:firstLine="480"/>
              <w:rPr>
                <w:rFonts w:hint="default" w:ascii="宋体" w:hAnsi="宋体"/>
                <w:sz w:val="24"/>
                <w:szCs w:val="24"/>
                <w:lang w:val="en-US" w:eastAsia="zh-CN"/>
              </w:rPr>
            </w:pPr>
            <w:r>
              <w:rPr>
                <w:rFonts w:hint="eastAsia" w:ascii="宋体" w:hAnsi="宋体"/>
                <w:sz w:val="24"/>
                <w:szCs w:val="24"/>
                <w:lang w:val="en-US" w:eastAsia="zh-CN"/>
              </w:rPr>
              <w:t>答：</w:t>
            </w:r>
            <w:r>
              <w:rPr>
                <w:rFonts w:hint="default" w:ascii="宋体" w:hAnsi="宋体"/>
                <w:sz w:val="24"/>
                <w:szCs w:val="24"/>
                <w:lang w:val="en-US" w:eastAsia="zh-CN"/>
              </w:rPr>
              <w:t>尊敬的投资者，您好！公司2026年上半年实现营业收入200.27亿元，同比增长13.88%，实现归母净利润21.60亿元，同比增长17.97%。经营方面，公司上半年实现轮胎产量4697.49万条，同比增长15.70%；轮胎销量4501.35万条，同比增长14.99%。感谢您对公司的关注。</w:t>
            </w:r>
          </w:p>
          <w:p w14:paraId="00E79984">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看公司财报，柬埔寨那边上半年盈利增长的很快，是哪方面的原因推动的？</w:t>
            </w:r>
          </w:p>
          <w:p w14:paraId="0B1E5C44">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宋体" w:hAnsi="宋体"/>
                <w:b w:val="0"/>
                <w:bCs w:val="0"/>
                <w:sz w:val="24"/>
                <w:szCs w:val="24"/>
                <w:lang w:val="en-US" w:eastAsia="zh-CN"/>
              </w:rPr>
            </w:pPr>
            <w:r>
              <w:rPr>
                <w:rFonts w:hint="eastAsia" w:ascii="宋体" w:hAnsi="宋体"/>
                <w:b w:val="0"/>
                <w:bCs w:val="0"/>
                <w:sz w:val="24"/>
                <w:szCs w:val="24"/>
                <w:lang w:val="en-US" w:eastAsia="zh-CN"/>
              </w:rPr>
              <w:t>答：</w:t>
            </w:r>
            <w:r>
              <w:rPr>
                <w:rFonts w:hint="default" w:ascii="宋体" w:hAnsi="宋体"/>
                <w:b w:val="0"/>
                <w:bCs w:val="0"/>
                <w:sz w:val="24"/>
                <w:szCs w:val="24"/>
                <w:lang w:val="en-US" w:eastAsia="zh-CN"/>
              </w:rPr>
              <w:t>尊敬的投资者，您好！公司越南、柬埔寨工厂均已进入稳定高产期，成为东南亚核心产能枢纽，可以较好地满足北美、欧洲等市场需求。上半年，受益于欧盟订单增加等因素，公司柬埔寨工厂开工率保持较高水平，盈利能力也保持在较高水平。感谢您对公司的关注。</w:t>
            </w:r>
          </w:p>
          <w:p w14:paraId="3F22987A">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公司上半年有哪些技术上的突破？</w:t>
            </w:r>
          </w:p>
          <w:p w14:paraId="56C23B2D">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宋体" w:hAnsi="宋体"/>
                <w:b w:val="0"/>
                <w:bCs w:val="0"/>
                <w:sz w:val="24"/>
                <w:szCs w:val="24"/>
                <w:lang w:val="en-US" w:eastAsia="zh-CN"/>
              </w:rPr>
            </w:pPr>
            <w:r>
              <w:rPr>
                <w:rFonts w:hint="eastAsia" w:ascii="宋体" w:hAnsi="宋体"/>
                <w:b w:val="0"/>
                <w:bCs w:val="0"/>
                <w:sz w:val="24"/>
                <w:szCs w:val="24"/>
                <w:lang w:val="en-US" w:eastAsia="zh-CN"/>
              </w:rPr>
              <w:t>答：</w:t>
            </w:r>
            <w:r>
              <w:rPr>
                <w:rFonts w:hint="default" w:ascii="宋体" w:hAnsi="宋体"/>
                <w:b w:val="0"/>
                <w:bCs w:val="0"/>
                <w:sz w:val="24"/>
                <w:szCs w:val="24"/>
                <w:lang w:val="en-US" w:eastAsia="zh-CN"/>
              </w:rPr>
              <w:t>尊敬的投资者，您好！集团坚持全球研发布局与产学研深度融合，在全球建立了4个研发中心，形成覆盖基础研究、应用开发与成果转化的完整创新体系。</w:t>
            </w:r>
          </w:p>
          <w:p w14:paraId="76BB3FD7">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宋体" w:hAnsi="宋体"/>
                <w:b w:val="0"/>
                <w:bCs w:val="0"/>
                <w:sz w:val="24"/>
                <w:szCs w:val="24"/>
                <w:lang w:val="en-US" w:eastAsia="zh-CN"/>
              </w:rPr>
            </w:pPr>
            <w:r>
              <w:rPr>
                <w:rFonts w:hint="default" w:ascii="宋体" w:hAnsi="宋体"/>
                <w:b w:val="0"/>
                <w:bCs w:val="0"/>
                <w:sz w:val="24"/>
                <w:szCs w:val="24"/>
                <w:lang w:val="en-US" w:eastAsia="zh-CN"/>
              </w:rPr>
              <w:t>全钢轮胎领域，公司面向海内外市场推出新能源专用、重载、长途干线、矿区工况等多款新品。半钢轮胎领域，高端夏季运动型UHP产品US61顺利投产，兼顾新能源车型对续航与安全性的双重要求；多款冬季轮胎通过欧洲TÜV Mark认证；越野轮胎助力合作车队拿下环塔国际拉力赛多项组别冠军。非公路轮胎业务持续深耕，完成巨型工程子午胎新工艺、耐磨抗切割技术升级。</w:t>
            </w:r>
          </w:p>
          <w:p w14:paraId="208DE29F">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宋体" w:hAnsi="宋体"/>
                <w:b w:val="0"/>
                <w:bCs w:val="0"/>
                <w:sz w:val="24"/>
                <w:szCs w:val="24"/>
                <w:lang w:val="en-US" w:eastAsia="zh-CN"/>
              </w:rPr>
            </w:pPr>
            <w:r>
              <w:rPr>
                <w:rFonts w:hint="default" w:ascii="宋体" w:hAnsi="宋体"/>
                <w:b w:val="0"/>
                <w:bCs w:val="0"/>
                <w:sz w:val="24"/>
                <w:szCs w:val="24"/>
                <w:lang w:val="en-US" w:eastAsia="zh-CN"/>
              </w:rPr>
              <w:t>此外，2026年8月，公司联合其他单位攻关的“高端轮胎无人成型智能制造装备研发及应用”项目，荣获2025年度山东省科技进步一等奖。感谢您对公司的关注。</w:t>
            </w:r>
          </w:p>
          <w:p w14:paraId="3A75D5FB">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据了解，小米鹏程已经开始用国产胎了，公司产品性能这么好，和小米的合作会不会进一步发展到民用轮胎上？</w:t>
            </w:r>
          </w:p>
          <w:p w14:paraId="096CA633">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宋体" w:hAnsi="宋体"/>
                <w:b w:val="0"/>
                <w:bCs w:val="0"/>
                <w:sz w:val="24"/>
                <w:szCs w:val="24"/>
                <w:lang w:val="en-US" w:eastAsia="zh-CN"/>
              </w:rPr>
            </w:pPr>
            <w:r>
              <w:rPr>
                <w:rFonts w:hint="eastAsia" w:ascii="宋体" w:hAnsi="宋体"/>
                <w:b w:val="0"/>
                <w:bCs w:val="0"/>
                <w:sz w:val="24"/>
                <w:szCs w:val="24"/>
                <w:lang w:val="en-US" w:eastAsia="zh-CN"/>
              </w:rPr>
              <w:t>答：</w:t>
            </w:r>
            <w:r>
              <w:rPr>
                <w:rFonts w:hint="default" w:ascii="宋体" w:hAnsi="宋体"/>
                <w:b w:val="0"/>
                <w:bCs w:val="0"/>
                <w:sz w:val="24"/>
                <w:szCs w:val="24"/>
                <w:lang w:val="en-US" w:eastAsia="zh-CN"/>
              </w:rPr>
              <w:t>尊敬的投资者，您好！公司与小米汽车早在2025年初便开展赛车领域的合作，合作开发的适用于SU7Ultra的赛道高性能轮胎PT01上架“小米有品”商城，并助力小米汽车成为北京易车金港、上海天马及宁波国际赛车场、厦门国际赛车场的最速四门量产车。未来，公司还会不断提升产品性能，力争取得更多的市场机会。感谢您对公司的关注。</w:t>
            </w:r>
          </w:p>
          <w:p w14:paraId="4D4A1D99">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请问公司在赛车竞技中所用的赛事胎的专业认可度怎么样？有什么竞争力？</w:t>
            </w:r>
          </w:p>
          <w:p w14:paraId="2BE4DBE7">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b w:val="0"/>
                <w:bCs w:val="0"/>
                <w:sz w:val="24"/>
                <w:szCs w:val="24"/>
                <w:lang w:val="en-US" w:eastAsia="zh-CN"/>
              </w:rPr>
            </w:pPr>
            <w:r>
              <w:rPr>
                <w:rFonts w:hint="eastAsia" w:ascii="宋体" w:hAnsi="宋体"/>
                <w:b w:val="0"/>
                <w:bCs w:val="0"/>
                <w:sz w:val="24"/>
                <w:szCs w:val="24"/>
                <w:lang w:val="en-US" w:eastAsia="zh-CN"/>
              </w:rPr>
              <w:t>答：尊敬的投资者，您好！公司深耕赛事轮胎多年，已凭借优异的产品性能，获得了多项汽车赛事荣誉。上半年，公司与多家汽车厂商的合作由单一赛道轮胎合作向高端配套车型发展，支撑国产新能源高端运动车型的快速落地和升级。公司“PolarDrive”冰雪轮胎驾乘活动成功举办，充分彰显了赛轮冰雪轮胎的技术实力；PT01高性能轮胎助力领克10+刷新亚洲山脊赛道圈速纪录，助力新一代小米SU7 Max成为浙赛50万以内最速四门量产车；Terrmax RT PRO越野胎助力长城汽车车队及赛轮黑曼巴锐骐车队征战环塔拉力赛，取得优异成绩。</w:t>
            </w:r>
          </w:p>
          <w:p w14:paraId="291EFC7F">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b w:val="0"/>
                <w:bCs w:val="0"/>
                <w:sz w:val="24"/>
                <w:szCs w:val="24"/>
                <w:lang w:val="en-US" w:eastAsia="zh-CN"/>
              </w:rPr>
            </w:pPr>
            <w:r>
              <w:rPr>
                <w:rFonts w:hint="eastAsia" w:ascii="宋体" w:hAnsi="宋体"/>
                <w:b w:val="0"/>
                <w:bCs w:val="0"/>
                <w:sz w:val="24"/>
                <w:szCs w:val="24"/>
                <w:lang w:val="en-US" w:eastAsia="zh-CN"/>
              </w:rPr>
              <w:t>目前，公司已成为“国际汽联F4方程式中国锦标赛”“中国汽车耐力锦标赛（国家杯）”“CTCC中国汽车场地职业联赛·中国杯”“丰田汽车GR86Cup”“现代汽车N统规赛”“领克城市挑战赛/新星赛”“宁波4H耐力赛”“NFS赛车运动”等2026年度多项赛事的指定轮胎，汽车运动品牌的专业形象持续巩固。感谢您对公司的关注。</w:t>
            </w:r>
          </w:p>
          <w:p w14:paraId="726F2253">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可以介绍下公司在非公路轮胎市场所处的地位吗？这个市场里公司的真正优势在哪里，会不会容易被复制超越？</w:t>
            </w:r>
          </w:p>
          <w:p w14:paraId="421E27FC">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b w:val="0"/>
                <w:bCs w:val="0"/>
                <w:sz w:val="24"/>
                <w:szCs w:val="24"/>
                <w:lang w:val="en-US" w:eastAsia="zh-CN"/>
              </w:rPr>
            </w:pPr>
            <w:r>
              <w:rPr>
                <w:rFonts w:hint="eastAsia" w:ascii="宋体" w:hAnsi="宋体"/>
                <w:b w:val="0"/>
                <w:bCs w:val="0"/>
                <w:sz w:val="24"/>
                <w:szCs w:val="24"/>
                <w:lang w:val="en-US" w:eastAsia="zh-CN"/>
              </w:rPr>
              <w:t>答：尊敬的投资者，您好！公司具有自主产权的非公路轮胎技术研发体系，目前已实现49–63吋全系列巨胎产品的产业化运营，经过长年的市场验证与技术深耕,公司非公路轮胎的产品实力与市场地位获得行业权威认可,并斩获多项荣誉。另外，公司在华东试验场还具备非公路轮胎测试平台，填补了国内非公路轮胎及其设备设施专业测试领域的空白。截至目前，公司非公路产品已成功配套卡特彼勒、约翰迪尔、凯斯纽荷兰、英国JCB、小松、沃尔沃、爱科、道依茨法尔、徐工、三一重工、潍柴雷沃、中国一拖等国内外企业。公司荣获中国农业机械工业协会“中国农业机械零部件龙头企业”、潍柴雷沃“年度优秀供应商”、约翰迪尔“AE伙伴级供应商”、印尼最大矿业公司PAMA“年度优秀合作伙伴奖”等荣誉。根据《中国橡胶》杂志发布的“2026年度工程胎企业排行榜”，公司位居榜单首位。感谢您对公司的关注。</w:t>
            </w:r>
          </w:p>
          <w:p w14:paraId="637F5A8E">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公司在品牌上持续做投入，上半年都做了哪些提升的努力，有什么效果吗？</w:t>
            </w:r>
          </w:p>
          <w:p w14:paraId="654789BD">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b w:val="0"/>
                <w:bCs w:val="0"/>
                <w:sz w:val="24"/>
                <w:szCs w:val="24"/>
                <w:lang w:val="en-US" w:eastAsia="zh-CN"/>
              </w:rPr>
            </w:pPr>
            <w:r>
              <w:rPr>
                <w:rFonts w:hint="eastAsia" w:ascii="宋体" w:hAnsi="宋体"/>
                <w:b w:val="0"/>
                <w:bCs w:val="0"/>
                <w:sz w:val="24"/>
                <w:szCs w:val="24"/>
                <w:lang w:val="en-US" w:eastAsia="zh-CN"/>
              </w:rPr>
              <w:t>答：尊敬的投资者，您好！今年上半年，公司加大品牌资源投放力度，通过品牌宣传、高端赛事、行业展会等举措，落地多项高端品牌传播项目。液体黄金系列产品市场口碑持续走高，国内外高端品牌认知度稳步提升。根据Brand Finance品牌价值评估机构发布的“2026年全球最具价值轮胎品牌榜单”，公司位列第10位，为中国最具价值的轮胎品牌；在世界品牌实验室发布的2026年度“中国500最具价值品牌”榜单中，公司以1,251.89亿元品牌价值位列榜单第97位，首次跻身中国最具价值品牌百强阵营；根据2026年《财富》中国500强排行榜，公司连续两年上榜，稳居国内轮胎行业前列。感谢您对公司的关注。</w:t>
            </w:r>
          </w:p>
          <w:p w14:paraId="79847575">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公司多次提到上半年毛利率提升主要来自产品结构优化和成本顺价。请问“产品结构优化”具体主要来自哪些产品？液体黄金、高端半钢胎、非公路胎等高毛利产品目前收入占比大致是多少，较去年同期提升了多少？</w:t>
            </w:r>
          </w:p>
          <w:p w14:paraId="5FD0E98B">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b w:val="0"/>
                <w:bCs w:val="0"/>
                <w:sz w:val="24"/>
                <w:szCs w:val="24"/>
                <w:lang w:val="en-US" w:eastAsia="zh-CN"/>
              </w:rPr>
            </w:pPr>
            <w:r>
              <w:rPr>
                <w:rFonts w:hint="eastAsia" w:ascii="宋体" w:hAnsi="宋体"/>
                <w:b w:val="0"/>
                <w:bCs w:val="0"/>
                <w:sz w:val="24"/>
                <w:szCs w:val="24"/>
                <w:lang w:val="en-US" w:eastAsia="zh-CN"/>
              </w:rPr>
              <w:t>答：尊敬的投资者，您好！今年上半年，公司三类轮胎产品中，非公路轮胎的毛利率最高，其次为半钢胎。非公路和半钢胎上半年实现收入分别同比增长约18%、17%。感谢您对公司的关注。</w:t>
            </w:r>
          </w:p>
          <w:p w14:paraId="6854A6C8">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越南、柬埔寨已经进入稳定高产阶段。请问墨西哥和印尼基地目前分别处于什么产能利用率水平？目前是否已经实现盈利或接近盈亏平衡，预计什么时候能达到较稳定的盈利状态？</w:t>
            </w:r>
          </w:p>
          <w:p w14:paraId="0BCFE64B">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b w:val="0"/>
                <w:bCs w:val="0"/>
                <w:sz w:val="24"/>
                <w:szCs w:val="24"/>
                <w:lang w:val="en-US" w:eastAsia="zh-CN"/>
              </w:rPr>
            </w:pPr>
            <w:r>
              <w:rPr>
                <w:rFonts w:hint="eastAsia" w:ascii="宋体" w:hAnsi="宋体"/>
                <w:b w:val="0"/>
                <w:bCs w:val="0"/>
                <w:sz w:val="24"/>
                <w:szCs w:val="24"/>
                <w:lang w:val="en-US" w:eastAsia="zh-CN"/>
              </w:rPr>
              <w:t>答：尊敬的投资者，您好！公司墨西哥工厂和印尼工厂正处于产能持续爬坡阶段，两工厂今年上半年虽未实现盈利，但在第二季度中已实现毛利率月度转正。感谢您对公司的关注。</w:t>
            </w:r>
          </w:p>
          <w:p w14:paraId="06153BEA">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上半年公司涨价后，订单有没有受到影响？</w:t>
            </w:r>
          </w:p>
          <w:p w14:paraId="722AB049">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b w:val="0"/>
                <w:bCs w:val="0"/>
                <w:sz w:val="24"/>
                <w:szCs w:val="24"/>
                <w:lang w:val="en-US" w:eastAsia="zh-CN"/>
              </w:rPr>
            </w:pPr>
            <w:r>
              <w:rPr>
                <w:rFonts w:hint="eastAsia" w:ascii="宋体" w:hAnsi="宋体"/>
                <w:b w:val="0"/>
                <w:bCs w:val="0"/>
                <w:sz w:val="24"/>
                <w:szCs w:val="24"/>
                <w:lang w:val="en-US" w:eastAsia="zh-CN"/>
              </w:rPr>
              <w:t>答：尊敬的投资者，您好！截至目前，公司国内外全钢、半钢轮胎调价的落地效果较好，整体订单饱满，销量实现较快增长。2026年上半年，公司轮胎产品整体销量4501.35万条，同比增长14.99%。感谢您对公司的关注。</w:t>
            </w:r>
          </w:p>
          <w:p w14:paraId="7879DC42">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现在原材料价格波动这么大，或多或少对公司产生影响，建议公司这边把业务往上游拓展。</w:t>
            </w:r>
          </w:p>
          <w:p w14:paraId="5C0017B8">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宋体" w:hAnsi="宋体"/>
                <w:b w:val="0"/>
                <w:bCs w:val="0"/>
                <w:sz w:val="24"/>
                <w:szCs w:val="24"/>
                <w:lang w:val="en-US" w:eastAsia="zh-CN"/>
              </w:rPr>
            </w:pPr>
            <w:r>
              <w:rPr>
                <w:rFonts w:hint="eastAsia" w:ascii="宋体" w:hAnsi="宋体"/>
                <w:b w:val="0"/>
                <w:bCs w:val="0"/>
                <w:sz w:val="24"/>
                <w:szCs w:val="24"/>
                <w:lang w:val="en-US" w:eastAsia="zh-CN"/>
              </w:rPr>
              <w:t>答：</w:t>
            </w:r>
            <w:r>
              <w:rPr>
                <w:rFonts w:hint="default" w:ascii="宋体" w:hAnsi="宋体"/>
                <w:b w:val="0"/>
                <w:bCs w:val="0"/>
                <w:sz w:val="24"/>
                <w:szCs w:val="24"/>
                <w:lang w:val="en-US" w:eastAsia="zh-CN"/>
              </w:rPr>
              <w:t>尊敬的投资者，您好！公司目前专注于轮胎主业，日常会根据各类原材料的市场情况以及需求计划灵活制定具体采购策略，并综合生产成本及市场需求等因素视情况确定价格调整策略，以尽量减少原材料价格波动对公司带来的不利影响。如后续有其他业务规划，将严格按照监管要求履行信息披露义务。感谢您的建议和关注。</w:t>
            </w:r>
          </w:p>
          <w:p w14:paraId="60BB3225">
            <w:pPr>
              <w:pStyle w:val="14"/>
              <w:numPr>
                <w:ilvl w:val="0"/>
                <w:numId w:val="1"/>
              </w:numPr>
              <w:spacing w:line="460" w:lineRule="exact"/>
              <w:ind w:left="-2" w:leftChars="-1" w:firstLine="482"/>
              <w:rPr>
                <w:rFonts w:hint="default" w:ascii="宋体" w:hAnsi="宋体"/>
                <w:b/>
                <w:bCs/>
                <w:sz w:val="24"/>
                <w:szCs w:val="24"/>
                <w:lang w:val="en-US" w:eastAsia="zh-CN"/>
              </w:rPr>
            </w:pPr>
            <w:r>
              <w:rPr>
                <w:rFonts w:hint="eastAsia" w:ascii="宋体" w:hAnsi="宋体"/>
                <w:b/>
                <w:bCs/>
                <w:sz w:val="24"/>
                <w:szCs w:val="24"/>
                <w:lang w:val="en-US" w:eastAsia="zh-CN"/>
              </w:rPr>
              <w:t>公司的所得税税率为何较高？</w:t>
            </w:r>
          </w:p>
          <w:p w14:paraId="69267DAF">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b w:val="0"/>
                <w:bCs w:val="0"/>
                <w:sz w:val="24"/>
                <w:szCs w:val="24"/>
                <w:lang w:val="en-US" w:eastAsia="zh-CN"/>
              </w:rPr>
            </w:pPr>
            <w:r>
              <w:rPr>
                <w:rFonts w:hint="eastAsia" w:ascii="宋体" w:hAnsi="宋体"/>
                <w:b w:val="0"/>
                <w:bCs w:val="0"/>
                <w:sz w:val="24"/>
                <w:szCs w:val="24"/>
                <w:lang w:val="en-US" w:eastAsia="zh-CN"/>
              </w:rPr>
              <w:t>答：尊敬的投资者，您好！上半年公司所得税率为 14.65%，2024 年一季度以来公司所得税税率均超过 10%，主要原因是2024 年越南实施全球最低税，2025 年起香港实施全球最低税，目前越南、柬埔寨、香港等区域税率需补至 15%，整体税负已接近 15%。虽然目前税负较高影响公司利润，但也避免了后期因所得税优惠政策变化带来的利润波动。感谢您对公司的关注。</w:t>
            </w:r>
          </w:p>
          <w:p w14:paraId="66F4EBC5">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近期看橡胶、炭黑等主要原材料价格波动还在持续，请问公司目前原材料采购形式是怎样的？</w:t>
            </w:r>
          </w:p>
          <w:p w14:paraId="29012C05">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b w:val="0"/>
                <w:bCs w:val="0"/>
                <w:sz w:val="24"/>
                <w:szCs w:val="24"/>
                <w:lang w:val="en-US" w:eastAsia="zh-CN"/>
              </w:rPr>
            </w:pPr>
            <w:r>
              <w:rPr>
                <w:rFonts w:hint="eastAsia" w:ascii="宋体" w:hAnsi="宋体"/>
                <w:b w:val="0"/>
                <w:bCs w:val="0"/>
                <w:sz w:val="24"/>
                <w:szCs w:val="24"/>
                <w:lang w:val="en-US" w:eastAsia="zh-CN"/>
              </w:rPr>
              <w:t>答：尊敬的投资者，您好！公司日常会根据各类原材料的市场情况以及需求计划灵活制定具体采购策略，目前已与国内外多家优质供应商建立了长期稳定的战略合作关系，感谢您的关注。</w:t>
            </w:r>
          </w:p>
          <w:p w14:paraId="30031BE8">
            <w:pPr>
              <w:pStyle w:val="14"/>
              <w:numPr>
                <w:ilvl w:val="0"/>
                <w:numId w:val="1"/>
              </w:numPr>
              <w:spacing w:line="460" w:lineRule="exact"/>
              <w:ind w:left="-2" w:leftChars="-1" w:firstLine="482"/>
              <w:rPr>
                <w:rFonts w:hint="eastAsia" w:ascii="宋体" w:hAnsi="宋体"/>
                <w:b/>
                <w:bCs/>
                <w:sz w:val="24"/>
                <w:szCs w:val="24"/>
                <w:lang w:val="en-US" w:eastAsia="zh-CN"/>
              </w:rPr>
            </w:pPr>
            <w:r>
              <w:rPr>
                <w:rFonts w:hint="eastAsia" w:ascii="宋体" w:hAnsi="宋体"/>
                <w:b/>
                <w:bCs/>
                <w:sz w:val="24"/>
                <w:szCs w:val="24"/>
                <w:lang w:val="en-US" w:eastAsia="zh-CN"/>
              </w:rPr>
              <w:t>耿总您好，公司刚提到上半年三类轮胎中非公路轮胎毛利率最高，且收入同比增长约18%。请问目前非公路轮胎占公司轮胎业务收入和毛利贡献的大致比例分别是多少？如不便披露具体数字，能否给出大致区间，以及较去年同期是否明显提升？</w:t>
            </w:r>
          </w:p>
          <w:p w14:paraId="1DE0B2E9">
            <w:pPr>
              <w:pStyle w:val="14"/>
              <w:spacing w:line="460" w:lineRule="exact"/>
              <w:ind w:left="0" w:leftChars="0" w:firstLine="480" w:firstLineChars="200"/>
              <w:rPr>
                <w:rFonts w:hint="default" w:ascii="宋体" w:hAnsi="宋体"/>
                <w:sz w:val="24"/>
                <w:szCs w:val="24"/>
                <w:lang w:val="en-US" w:eastAsia="zh-CN"/>
              </w:rPr>
            </w:pPr>
            <w:r>
              <w:rPr>
                <w:rFonts w:hint="eastAsia" w:ascii="宋体" w:hAnsi="宋体"/>
                <w:b w:val="0"/>
                <w:bCs w:val="0"/>
                <w:sz w:val="24"/>
                <w:szCs w:val="24"/>
                <w:lang w:val="en-US" w:eastAsia="zh-CN"/>
              </w:rPr>
              <w:t>答：尊敬的投资者，您好！今年上半年，非公路轮胎实现收入占公司营业收入的比例及毛利率均同比有提升。感谢您对公司的关注。</w:t>
            </w:r>
          </w:p>
        </w:tc>
      </w:tr>
      <w:tr w14:paraId="5ACF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67CDFBD6">
            <w:pPr>
              <w:spacing w:line="420" w:lineRule="exact"/>
              <w:rPr>
                <w:rFonts w:hAnsi="宋体"/>
                <w:bCs/>
                <w:iCs/>
                <w:color w:val="000000"/>
                <w:kern w:val="0"/>
                <w:sz w:val="24"/>
              </w:rPr>
            </w:pPr>
            <w:r>
              <w:rPr>
                <w:rFonts w:hint="eastAsia" w:hAnsi="宋体"/>
                <w:bCs/>
                <w:iCs/>
                <w:color w:val="000000"/>
                <w:kern w:val="0"/>
                <w:sz w:val="24"/>
              </w:rPr>
              <w:t>关于本次活动是否涉及应披露重大信息的说明</w:t>
            </w:r>
          </w:p>
        </w:tc>
        <w:tc>
          <w:tcPr>
            <w:tcW w:w="7159" w:type="dxa"/>
            <w:tcBorders>
              <w:top w:val="single" w:color="auto" w:sz="4" w:space="0"/>
              <w:left w:val="single" w:color="auto" w:sz="4" w:space="0"/>
              <w:bottom w:val="single" w:color="auto" w:sz="4" w:space="0"/>
              <w:right w:val="single" w:color="auto" w:sz="4" w:space="0"/>
            </w:tcBorders>
          </w:tcPr>
          <w:p w14:paraId="13A4F2A8">
            <w:pPr>
              <w:pStyle w:val="14"/>
              <w:spacing w:line="460" w:lineRule="exact"/>
              <w:ind w:firstLine="0" w:firstLineChars="0"/>
              <w:rPr>
                <w:rFonts w:ascii="宋体" w:hAnsi="宋体"/>
                <w:sz w:val="24"/>
                <w:szCs w:val="24"/>
              </w:rPr>
            </w:pPr>
            <w:r>
              <w:rPr>
                <w:rFonts w:hint="eastAsia" w:ascii="宋体" w:hAnsi="宋体"/>
                <w:sz w:val="24"/>
                <w:szCs w:val="24"/>
              </w:rPr>
              <w:t>无</w:t>
            </w:r>
          </w:p>
        </w:tc>
      </w:tr>
      <w:tr w14:paraId="3237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512D1ACF">
            <w:pPr>
              <w:spacing w:line="420" w:lineRule="exact"/>
              <w:rPr>
                <w:bCs/>
                <w:iCs/>
                <w:color w:val="000000"/>
                <w:kern w:val="0"/>
                <w:sz w:val="24"/>
              </w:rPr>
            </w:pPr>
            <w:r>
              <w:rPr>
                <w:rFonts w:hAnsi="宋体"/>
                <w:bCs/>
                <w:iCs/>
                <w:color w:val="000000"/>
                <w:kern w:val="0"/>
                <w:sz w:val="24"/>
              </w:rPr>
              <w:t>附件清单（如有）</w:t>
            </w:r>
          </w:p>
        </w:tc>
        <w:tc>
          <w:tcPr>
            <w:tcW w:w="7159" w:type="dxa"/>
            <w:tcBorders>
              <w:top w:val="single" w:color="auto" w:sz="4" w:space="0"/>
              <w:left w:val="single" w:color="auto" w:sz="4" w:space="0"/>
              <w:bottom w:val="single" w:color="auto" w:sz="4" w:space="0"/>
              <w:right w:val="single" w:color="auto" w:sz="4" w:space="0"/>
            </w:tcBorders>
          </w:tcPr>
          <w:p w14:paraId="350BCF43">
            <w:pPr>
              <w:spacing w:line="420" w:lineRule="exact"/>
              <w:rPr>
                <w:bCs/>
                <w:iCs/>
                <w:color w:val="000000"/>
                <w:sz w:val="24"/>
              </w:rPr>
            </w:pPr>
            <w:r>
              <w:rPr>
                <w:rFonts w:hint="eastAsia"/>
                <w:bCs/>
                <w:iCs/>
                <w:color w:val="000000"/>
                <w:sz w:val="24"/>
              </w:rPr>
              <w:t>无</w:t>
            </w:r>
          </w:p>
        </w:tc>
      </w:tr>
    </w:tbl>
    <w:p w14:paraId="2D680576">
      <w:bookmarkStart w:id="0" w:name="_GoBack"/>
      <w:bookmarkEnd w:id="0"/>
    </w:p>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D0318">
    <w:pPr>
      <w:pStyle w:val="4"/>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224DD">
    <w:pPr>
      <w:pStyle w:val="5"/>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E22A79"/>
    <w:multiLevelType w:val="singleLevel"/>
    <w:tmpl w:val="F9E22A7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C7"/>
    <w:rsid w:val="000268C0"/>
    <w:rsid w:val="000363B5"/>
    <w:rsid w:val="000375D7"/>
    <w:rsid w:val="00043015"/>
    <w:rsid w:val="00046DDE"/>
    <w:rsid w:val="00047EB9"/>
    <w:rsid w:val="00060A74"/>
    <w:rsid w:val="00067110"/>
    <w:rsid w:val="00090A08"/>
    <w:rsid w:val="0009298A"/>
    <w:rsid w:val="000A2808"/>
    <w:rsid w:val="000A3BAC"/>
    <w:rsid w:val="000C26FD"/>
    <w:rsid w:val="000C2D85"/>
    <w:rsid w:val="000E5700"/>
    <w:rsid w:val="000F0C4B"/>
    <w:rsid w:val="000F0E22"/>
    <w:rsid w:val="00105A04"/>
    <w:rsid w:val="001169A9"/>
    <w:rsid w:val="00125EB2"/>
    <w:rsid w:val="00142A4C"/>
    <w:rsid w:val="00144279"/>
    <w:rsid w:val="001452FF"/>
    <w:rsid w:val="001514AB"/>
    <w:rsid w:val="00164F36"/>
    <w:rsid w:val="0016617A"/>
    <w:rsid w:val="00167E99"/>
    <w:rsid w:val="0017500C"/>
    <w:rsid w:val="001975AB"/>
    <w:rsid w:val="001A00F5"/>
    <w:rsid w:val="001A1F65"/>
    <w:rsid w:val="001A5CE9"/>
    <w:rsid w:val="001C50AD"/>
    <w:rsid w:val="001C53CF"/>
    <w:rsid w:val="001D22EE"/>
    <w:rsid w:val="001D4C89"/>
    <w:rsid w:val="001E1838"/>
    <w:rsid w:val="001E3145"/>
    <w:rsid w:val="001E6509"/>
    <w:rsid w:val="001E7968"/>
    <w:rsid w:val="001F34CD"/>
    <w:rsid w:val="0021223F"/>
    <w:rsid w:val="0022180A"/>
    <w:rsid w:val="00223ABC"/>
    <w:rsid w:val="002241B9"/>
    <w:rsid w:val="002274D9"/>
    <w:rsid w:val="0023455A"/>
    <w:rsid w:val="00237994"/>
    <w:rsid w:val="00250810"/>
    <w:rsid w:val="00251D58"/>
    <w:rsid w:val="002530EE"/>
    <w:rsid w:val="002549E6"/>
    <w:rsid w:val="00256602"/>
    <w:rsid w:val="0026685A"/>
    <w:rsid w:val="00271C8D"/>
    <w:rsid w:val="00273B53"/>
    <w:rsid w:val="002774F7"/>
    <w:rsid w:val="0028080C"/>
    <w:rsid w:val="00295257"/>
    <w:rsid w:val="00297703"/>
    <w:rsid w:val="002A0826"/>
    <w:rsid w:val="002A0984"/>
    <w:rsid w:val="002A589B"/>
    <w:rsid w:val="002A5CE1"/>
    <w:rsid w:val="002B1184"/>
    <w:rsid w:val="002B71B8"/>
    <w:rsid w:val="002B7469"/>
    <w:rsid w:val="002C22C6"/>
    <w:rsid w:val="002C23FC"/>
    <w:rsid w:val="002C6568"/>
    <w:rsid w:val="002C723B"/>
    <w:rsid w:val="002D2151"/>
    <w:rsid w:val="002D39BC"/>
    <w:rsid w:val="002D5E38"/>
    <w:rsid w:val="002E1B15"/>
    <w:rsid w:val="002E1D3A"/>
    <w:rsid w:val="003005F0"/>
    <w:rsid w:val="00300E73"/>
    <w:rsid w:val="003030BF"/>
    <w:rsid w:val="00304F89"/>
    <w:rsid w:val="0030602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D18F1"/>
    <w:rsid w:val="003E001E"/>
    <w:rsid w:val="003F7C4D"/>
    <w:rsid w:val="0040075F"/>
    <w:rsid w:val="00403300"/>
    <w:rsid w:val="004118C0"/>
    <w:rsid w:val="00417A31"/>
    <w:rsid w:val="0042004B"/>
    <w:rsid w:val="00433384"/>
    <w:rsid w:val="0043777D"/>
    <w:rsid w:val="0045767F"/>
    <w:rsid w:val="00463E9B"/>
    <w:rsid w:val="00467414"/>
    <w:rsid w:val="004713D3"/>
    <w:rsid w:val="00473F30"/>
    <w:rsid w:val="0048591A"/>
    <w:rsid w:val="00486D86"/>
    <w:rsid w:val="0048721A"/>
    <w:rsid w:val="004A0BD5"/>
    <w:rsid w:val="004A1BBF"/>
    <w:rsid w:val="004A73E5"/>
    <w:rsid w:val="004C19BF"/>
    <w:rsid w:val="004D7640"/>
    <w:rsid w:val="004E1A9B"/>
    <w:rsid w:val="00500AB6"/>
    <w:rsid w:val="005155FB"/>
    <w:rsid w:val="00523907"/>
    <w:rsid w:val="00533D7F"/>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17A62"/>
    <w:rsid w:val="00622F13"/>
    <w:rsid w:val="00625503"/>
    <w:rsid w:val="0062662D"/>
    <w:rsid w:val="00632E78"/>
    <w:rsid w:val="006344F1"/>
    <w:rsid w:val="00637186"/>
    <w:rsid w:val="00641810"/>
    <w:rsid w:val="00645D80"/>
    <w:rsid w:val="00646DF4"/>
    <w:rsid w:val="00651DE6"/>
    <w:rsid w:val="006523BB"/>
    <w:rsid w:val="00652928"/>
    <w:rsid w:val="0065347E"/>
    <w:rsid w:val="00654B49"/>
    <w:rsid w:val="00662505"/>
    <w:rsid w:val="00664538"/>
    <w:rsid w:val="0066674C"/>
    <w:rsid w:val="006760F7"/>
    <w:rsid w:val="00682777"/>
    <w:rsid w:val="006861C7"/>
    <w:rsid w:val="00686DDF"/>
    <w:rsid w:val="00697B12"/>
    <w:rsid w:val="006A55BB"/>
    <w:rsid w:val="006A7613"/>
    <w:rsid w:val="006B661A"/>
    <w:rsid w:val="006B7D00"/>
    <w:rsid w:val="006B7EA0"/>
    <w:rsid w:val="006C6BC5"/>
    <w:rsid w:val="006D61A2"/>
    <w:rsid w:val="006E1DB4"/>
    <w:rsid w:val="00714059"/>
    <w:rsid w:val="00716833"/>
    <w:rsid w:val="00723BFA"/>
    <w:rsid w:val="00726DC9"/>
    <w:rsid w:val="00753DB6"/>
    <w:rsid w:val="00763847"/>
    <w:rsid w:val="00771FE3"/>
    <w:rsid w:val="00776BDE"/>
    <w:rsid w:val="007816EC"/>
    <w:rsid w:val="00786870"/>
    <w:rsid w:val="00792237"/>
    <w:rsid w:val="0079272A"/>
    <w:rsid w:val="00794A1A"/>
    <w:rsid w:val="007A1DA9"/>
    <w:rsid w:val="007B2252"/>
    <w:rsid w:val="007B79D9"/>
    <w:rsid w:val="007C67B1"/>
    <w:rsid w:val="007D3272"/>
    <w:rsid w:val="007E354A"/>
    <w:rsid w:val="007E69C8"/>
    <w:rsid w:val="0080525B"/>
    <w:rsid w:val="008062C5"/>
    <w:rsid w:val="0080741A"/>
    <w:rsid w:val="00814B5B"/>
    <w:rsid w:val="00836F34"/>
    <w:rsid w:val="00843E73"/>
    <w:rsid w:val="00844EBF"/>
    <w:rsid w:val="00854F61"/>
    <w:rsid w:val="0086193F"/>
    <w:rsid w:val="00864202"/>
    <w:rsid w:val="00873B59"/>
    <w:rsid w:val="0087701F"/>
    <w:rsid w:val="0089283D"/>
    <w:rsid w:val="00893108"/>
    <w:rsid w:val="008A0ADC"/>
    <w:rsid w:val="008A1BAB"/>
    <w:rsid w:val="008B38B7"/>
    <w:rsid w:val="008B458E"/>
    <w:rsid w:val="008C4D4A"/>
    <w:rsid w:val="008D14CC"/>
    <w:rsid w:val="008E11AE"/>
    <w:rsid w:val="008E1708"/>
    <w:rsid w:val="008E1E3A"/>
    <w:rsid w:val="008E4844"/>
    <w:rsid w:val="00904492"/>
    <w:rsid w:val="00904DFB"/>
    <w:rsid w:val="0091457B"/>
    <w:rsid w:val="00923763"/>
    <w:rsid w:val="00930C19"/>
    <w:rsid w:val="00930ED6"/>
    <w:rsid w:val="0093293F"/>
    <w:rsid w:val="00933105"/>
    <w:rsid w:val="00944147"/>
    <w:rsid w:val="009474EF"/>
    <w:rsid w:val="00962626"/>
    <w:rsid w:val="00975657"/>
    <w:rsid w:val="009767DD"/>
    <w:rsid w:val="00977AF2"/>
    <w:rsid w:val="00985FC5"/>
    <w:rsid w:val="00993BDD"/>
    <w:rsid w:val="009A6DFB"/>
    <w:rsid w:val="009B6EC0"/>
    <w:rsid w:val="009C7FAF"/>
    <w:rsid w:val="009D4199"/>
    <w:rsid w:val="009E5E6A"/>
    <w:rsid w:val="009F0DD5"/>
    <w:rsid w:val="009F1B95"/>
    <w:rsid w:val="009F6C05"/>
    <w:rsid w:val="00A12C73"/>
    <w:rsid w:val="00A13CB6"/>
    <w:rsid w:val="00A14A1A"/>
    <w:rsid w:val="00A22CDD"/>
    <w:rsid w:val="00A25AEE"/>
    <w:rsid w:val="00A31EB1"/>
    <w:rsid w:val="00A33AEA"/>
    <w:rsid w:val="00A3668F"/>
    <w:rsid w:val="00A43D62"/>
    <w:rsid w:val="00A461CD"/>
    <w:rsid w:val="00A469C5"/>
    <w:rsid w:val="00A5317D"/>
    <w:rsid w:val="00A6284E"/>
    <w:rsid w:val="00A63E81"/>
    <w:rsid w:val="00A8775A"/>
    <w:rsid w:val="00AA5998"/>
    <w:rsid w:val="00AB07E7"/>
    <w:rsid w:val="00AD1BA8"/>
    <w:rsid w:val="00AE49A4"/>
    <w:rsid w:val="00B02A29"/>
    <w:rsid w:val="00B03522"/>
    <w:rsid w:val="00B04AD6"/>
    <w:rsid w:val="00B14CAA"/>
    <w:rsid w:val="00B24C80"/>
    <w:rsid w:val="00B257CE"/>
    <w:rsid w:val="00B377C1"/>
    <w:rsid w:val="00B4746C"/>
    <w:rsid w:val="00B65354"/>
    <w:rsid w:val="00B71A0E"/>
    <w:rsid w:val="00B80C24"/>
    <w:rsid w:val="00B81765"/>
    <w:rsid w:val="00B832F5"/>
    <w:rsid w:val="00BA2FAB"/>
    <w:rsid w:val="00BB5E28"/>
    <w:rsid w:val="00BC7AD1"/>
    <w:rsid w:val="00BD15F3"/>
    <w:rsid w:val="00BD7986"/>
    <w:rsid w:val="00BD79D3"/>
    <w:rsid w:val="00C01D49"/>
    <w:rsid w:val="00C04F82"/>
    <w:rsid w:val="00C15AC0"/>
    <w:rsid w:val="00C26030"/>
    <w:rsid w:val="00C41091"/>
    <w:rsid w:val="00C45222"/>
    <w:rsid w:val="00C63056"/>
    <w:rsid w:val="00C661D1"/>
    <w:rsid w:val="00C735E6"/>
    <w:rsid w:val="00C73E0A"/>
    <w:rsid w:val="00C753D3"/>
    <w:rsid w:val="00C775BA"/>
    <w:rsid w:val="00C85331"/>
    <w:rsid w:val="00C85A50"/>
    <w:rsid w:val="00C94D46"/>
    <w:rsid w:val="00CA443A"/>
    <w:rsid w:val="00CB2461"/>
    <w:rsid w:val="00CB37FD"/>
    <w:rsid w:val="00CC4D65"/>
    <w:rsid w:val="00CC61E7"/>
    <w:rsid w:val="00CD25AD"/>
    <w:rsid w:val="00CD3FFC"/>
    <w:rsid w:val="00CF565C"/>
    <w:rsid w:val="00D016A3"/>
    <w:rsid w:val="00D31004"/>
    <w:rsid w:val="00D512E3"/>
    <w:rsid w:val="00D602C9"/>
    <w:rsid w:val="00D659D1"/>
    <w:rsid w:val="00DA26A9"/>
    <w:rsid w:val="00DB01FF"/>
    <w:rsid w:val="00DC7778"/>
    <w:rsid w:val="00DD594E"/>
    <w:rsid w:val="00DE7391"/>
    <w:rsid w:val="00DF2DB5"/>
    <w:rsid w:val="00DF361E"/>
    <w:rsid w:val="00DF6560"/>
    <w:rsid w:val="00E04CC0"/>
    <w:rsid w:val="00E136FF"/>
    <w:rsid w:val="00E32528"/>
    <w:rsid w:val="00E33E9C"/>
    <w:rsid w:val="00E35F26"/>
    <w:rsid w:val="00E51C50"/>
    <w:rsid w:val="00E53165"/>
    <w:rsid w:val="00E61EF7"/>
    <w:rsid w:val="00E663B4"/>
    <w:rsid w:val="00E80CEB"/>
    <w:rsid w:val="00E971F4"/>
    <w:rsid w:val="00EA5103"/>
    <w:rsid w:val="00EA6FB9"/>
    <w:rsid w:val="00EB5E6A"/>
    <w:rsid w:val="00EC2AD7"/>
    <w:rsid w:val="00ED7DE0"/>
    <w:rsid w:val="00EE3956"/>
    <w:rsid w:val="00EE7891"/>
    <w:rsid w:val="00EF49FE"/>
    <w:rsid w:val="00EF5341"/>
    <w:rsid w:val="00F00714"/>
    <w:rsid w:val="00F04908"/>
    <w:rsid w:val="00F07C21"/>
    <w:rsid w:val="00F12EF6"/>
    <w:rsid w:val="00F21065"/>
    <w:rsid w:val="00F24311"/>
    <w:rsid w:val="00F24CB4"/>
    <w:rsid w:val="00F43465"/>
    <w:rsid w:val="00F45475"/>
    <w:rsid w:val="00F64E72"/>
    <w:rsid w:val="00F70C7D"/>
    <w:rsid w:val="00F9272E"/>
    <w:rsid w:val="00F95565"/>
    <w:rsid w:val="00F97743"/>
    <w:rsid w:val="00FA64EF"/>
    <w:rsid w:val="00FA6DAF"/>
    <w:rsid w:val="00FC6884"/>
    <w:rsid w:val="00FE62F3"/>
    <w:rsid w:val="00FF71D2"/>
    <w:rsid w:val="014E47A4"/>
    <w:rsid w:val="02F43955"/>
    <w:rsid w:val="03872335"/>
    <w:rsid w:val="04CD4E0D"/>
    <w:rsid w:val="04E5152E"/>
    <w:rsid w:val="053F335C"/>
    <w:rsid w:val="05F30D52"/>
    <w:rsid w:val="07E84685"/>
    <w:rsid w:val="07F43921"/>
    <w:rsid w:val="0837350B"/>
    <w:rsid w:val="08582CB3"/>
    <w:rsid w:val="08964C8B"/>
    <w:rsid w:val="08E5231F"/>
    <w:rsid w:val="090360D7"/>
    <w:rsid w:val="093D3C5E"/>
    <w:rsid w:val="099B29F9"/>
    <w:rsid w:val="0A63192C"/>
    <w:rsid w:val="0AD90520"/>
    <w:rsid w:val="0B832A83"/>
    <w:rsid w:val="0BC07254"/>
    <w:rsid w:val="0C493B9B"/>
    <w:rsid w:val="0C93758E"/>
    <w:rsid w:val="0D4D0B5F"/>
    <w:rsid w:val="0D4D2354"/>
    <w:rsid w:val="0D4F550D"/>
    <w:rsid w:val="0DC47F11"/>
    <w:rsid w:val="0E1D5BD4"/>
    <w:rsid w:val="0E207A31"/>
    <w:rsid w:val="0FD733BC"/>
    <w:rsid w:val="10A61842"/>
    <w:rsid w:val="110F4875"/>
    <w:rsid w:val="112047F6"/>
    <w:rsid w:val="12DF0C65"/>
    <w:rsid w:val="13313537"/>
    <w:rsid w:val="13706BF0"/>
    <w:rsid w:val="13C4450D"/>
    <w:rsid w:val="141B6967"/>
    <w:rsid w:val="147565DF"/>
    <w:rsid w:val="14E70151"/>
    <w:rsid w:val="15B8001E"/>
    <w:rsid w:val="16975FB0"/>
    <w:rsid w:val="17B3729E"/>
    <w:rsid w:val="17E96DCA"/>
    <w:rsid w:val="180F7009"/>
    <w:rsid w:val="18D93A98"/>
    <w:rsid w:val="19277BC7"/>
    <w:rsid w:val="19E37083"/>
    <w:rsid w:val="1A442861"/>
    <w:rsid w:val="1A816DFF"/>
    <w:rsid w:val="1B1D2492"/>
    <w:rsid w:val="1B2418A5"/>
    <w:rsid w:val="1B263D19"/>
    <w:rsid w:val="1E1A6F96"/>
    <w:rsid w:val="1FBFC074"/>
    <w:rsid w:val="204B02F6"/>
    <w:rsid w:val="2052439D"/>
    <w:rsid w:val="210D0846"/>
    <w:rsid w:val="22B65ABC"/>
    <w:rsid w:val="236A6126"/>
    <w:rsid w:val="241C2252"/>
    <w:rsid w:val="244A38CE"/>
    <w:rsid w:val="24E80350"/>
    <w:rsid w:val="25AC38D5"/>
    <w:rsid w:val="261D2E7F"/>
    <w:rsid w:val="26492CDC"/>
    <w:rsid w:val="26C339D5"/>
    <w:rsid w:val="27486743"/>
    <w:rsid w:val="27E94D39"/>
    <w:rsid w:val="27FC492A"/>
    <w:rsid w:val="28B03A1C"/>
    <w:rsid w:val="29167E25"/>
    <w:rsid w:val="293272A7"/>
    <w:rsid w:val="299F65D6"/>
    <w:rsid w:val="29A71DB7"/>
    <w:rsid w:val="29AC03B5"/>
    <w:rsid w:val="29FA2D3E"/>
    <w:rsid w:val="2A9422A9"/>
    <w:rsid w:val="2B620922"/>
    <w:rsid w:val="2B734E9D"/>
    <w:rsid w:val="2BA7533C"/>
    <w:rsid w:val="2C177530"/>
    <w:rsid w:val="2C253D8E"/>
    <w:rsid w:val="2CAC29D6"/>
    <w:rsid w:val="2CF14F20"/>
    <w:rsid w:val="2E256BC7"/>
    <w:rsid w:val="2E592F1A"/>
    <w:rsid w:val="2EF06807"/>
    <w:rsid w:val="2F3A1C8E"/>
    <w:rsid w:val="2F8A1FFE"/>
    <w:rsid w:val="2FF91C3F"/>
    <w:rsid w:val="302F46F8"/>
    <w:rsid w:val="31B85A3E"/>
    <w:rsid w:val="31F54A45"/>
    <w:rsid w:val="31FD161E"/>
    <w:rsid w:val="327645E7"/>
    <w:rsid w:val="32CC663E"/>
    <w:rsid w:val="33212649"/>
    <w:rsid w:val="33645CC3"/>
    <w:rsid w:val="33F42C7F"/>
    <w:rsid w:val="3488335F"/>
    <w:rsid w:val="349E052A"/>
    <w:rsid w:val="34FD33C1"/>
    <w:rsid w:val="35415B1D"/>
    <w:rsid w:val="35426BF9"/>
    <w:rsid w:val="359B46F3"/>
    <w:rsid w:val="35B61405"/>
    <w:rsid w:val="35DC7F6D"/>
    <w:rsid w:val="36160449"/>
    <w:rsid w:val="36FB9E1F"/>
    <w:rsid w:val="36FC5627"/>
    <w:rsid w:val="3741073C"/>
    <w:rsid w:val="381D5949"/>
    <w:rsid w:val="382D4178"/>
    <w:rsid w:val="38DA69D3"/>
    <w:rsid w:val="39590076"/>
    <w:rsid w:val="39C443D2"/>
    <w:rsid w:val="3AE95412"/>
    <w:rsid w:val="3B517531"/>
    <w:rsid w:val="3BFA3B96"/>
    <w:rsid w:val="3CE226B1"/>
    <w:rsid w:val="3CEF3472"/>
    <w:rsid w:val="3D834ACE"/>
    <w:rsid w:val="3E86281D"/>
    <w:rsid w:val="3EFF16E9"/>
    <w:rsid w:val="3F6825F3"/>
    <w:rsid w:val="3F7D54CC"/>
    <w:rsid w:val="419210A2"/>
    <w:rsid w:val="42AE4D6A"/>
    <w:rsid w:val="43FB5176"/>
    <w:rsid w:val="448156A1"/>
    <w:rsid w:val="450A4511"/>
    <w:rsid w:val="45811178"/>
    <w:rsid w:val="46947ED0"/>
    <w:rsid w:val="478712AE"/>
    <w:rsid w:val="48146B7F"/>
    <w:rsid w:val="490B575C"/>
    <w:rsid w:val="499D4576"/>
    <w:rsid w:val="4AD9315C"/>
    <w:rsid w:val="4B0D7215"/>
    <w:rsid w:val="4B0F5A0D"/>
    <w:rsid w:val="4DE91E71"/>
    <w:rsid w:val="4DED77C2"/>
    <w:rsid w:val="4E2F3499"/>
    <w:rsid w:val="4EBA27E3"/>
    <w:rsid w:val="4F9323C9"/>
    <w:rsid w:val="50E41142"/>
    <w:rsid w:val="515458B0"/>
    <w:rsid w:val="51915D53"/>
    <w:rsid w:val="51F4195F"/>
    <w:rsid w:val="53BF706C"/>
    <w:rsid w:val="54346D39"/>
    <w:rsid w:val="549338FF"/>
    <w:rsid w:val="54994F4D"/>
    <w:rsid w:val="55065A58"/>
    <w:rsid w:val="55286314"/>
    <w:rsid w:val="56611B3C"/>
    <w:rsid w:val="56D604B0"/>
    <w:rsid w:val="57AA7B05"/>
    <w:rsid w:val="57E4165B"/>
    <w:rsid w:val="581157B6"/>
    <w:rsid w:val="586C3B40"/>
    <w:rsid w:val="592C42F5"/>
    <w:rsid w:val="59E542B1"/>
    <w:rsid w:val="5A604790"/>
    <w:rsid w:val="5A650D5A"/>
    <w:rsid w:val="5B7A4104"/>
    <w:rsid w:val="5B7E2B2B"/>
    <w:rsid w:val="5C26156B"/>
    <w:rsid w:val="5CAA57DD"/>
    <w:rsid w:val="5CBC0AC3"/>
    <w:rsid w:val="5CD76845"/>
    <w:rsid w:val="5D350B78"/>
    <w:rsid w:val="5D3A0B7D"/>
    <w:rsid w:val="5D464695"/>
    <w:rsid w:val="5DAE4E34"/>
    <w:rsid w:val="5DD82899"/>
    <w:rsid w:val="5EE178D8"/>
    <w:rsid w:val="5F314559"/>
    <w:rsid w:val="5FE72FC9"/>
    <w:rsid w:val="601257DB"/>
    <w:rsid w:val="60D46992"/>
    <w:rsid w:val="61D01DD2"/>
    <w:rsid w:val="6207294A"/>
    <w:rsid w:val="62500F3A"/>
    <w:rsid w:val="62D83CB7"/>
    <w:rsid w:val="63C7659C"/>
    <w:rsid w:val="646C3068"/>
    <w:rsid w:val="64BA262A"/>
    <w:rsid w:val="64CC5BCB"/>
    <w:rsid w:val="64E02794"/>
    <w:rsid w:val="653A410A"/>
    <w:rsid w:val="657E5B22"/>
    <w:rsid w:val="66AA5270"/>
    <w:rsid w:val="67587146"/>
    <w:rsid w:val="683A2C86"/>
    <w:rsid w:val="686C45DD"/>
    <w:rsid w:val="68751207"/>
    <w:rsid w:val="68D56618"/>
    <w:rsid w:val="6ADE0725"/>
    <w:rsid w:val="6B527023"/>
    <w:rsid w:val="6B925083"/>
    <w:rsid w:val="6BFA733C"/>
    <w:rsid w:val="6C737CFB"/>
    <w:rsid w:val="6E072310"/>
    <w:rsid w:val="6EA665E1"/>
    <w:rsid w:val="6EDD17F3"/>
    <w:rsid w:val="6F2871E3"/>
    <w:rsid w:val="70236471"/>
    <w:rsid w:val="70426DA6"/>
    <w:rsid w:val="70766666"/>
    <w:rsid w:val="71333506"/>
    <w:rsid w:val="718D24AC"/>
    <w:rsid w:val="71905711"/>
    <w:rsid w:val="728B6EC5"/>
    <w:rsid w:val="734E202F"/>
    <w:rsid w:val="743A796E"/>
    <w:rsid w:val="7468238A"/>
    <w:rsid w:val="74E03D43"/>
    <w:rsid w:val="755F2B0A"/>
    <w:rsid w:val="75760AE5"/>
    <w:rsid w:val="75F436FE"/>
    <w:rsid w:val="77CF73AC"/>
    <w:rsid w:val="78FF0116"/>
    <w:rsid w:val="79B24925"/>
    <w:rsid w:val="7A3157EF"/>
    <w:rsid w:val="7C656439"/>
    <w:rsid w:val="7CD96954"/>
    <w:rsid w:val="7D3B6687"/>
    <w:rsid w:val="7D5E7E3F"/>
    <w:rsid w:val="7DD84285"/>
    <w:rsid w:val="7E2471D6"/>
    <w:rsid w:val="7E737D25"/>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unhideWhenUsed/>
    <w:qFormat/>
    <w:uiPriority w:val="0"/>
    <w:pPr>
      <w:jc w:val="left"/>
    </w:pPr>
  </w:style>
  <w:style w:type="paragraph" w:styleId="3">
    <w:name w:val="Balloon Text"/>
    <w:basedOn w:val="1"/>
    <w:link w:val="20"/>
    <w:qFormat/>
    <w:uiPriority w:val="0"/>
    <w:rPr>
      <w:sz w:val="18"/>
      <w:szCs w:val="18"/>
    </w:rPr>
  </w:style>
  <w:style w:type="paragraph" w:styleId="4">
    <w:name w:val="footer"/>
    <w:basedOn w:val="1"/>
    <w:link w:val="18"/>
    <w:qFormat/>
    <w:uiPriority w:val="0"/>
    <w:pPr>
      <w:tabs>
        <w:tab w:val="center" w:pos="4153"/>
        <w:tab w:val="right" w:pos="8306"/>
      </w:tabs>
      <w:snapToGrid w:val="0"/>
      <w:jc w:val="left"/>
    </w:pPr>
    <w:rPr>
      <w:sz w:val="18"/>
      <w:szCs w:val="18"/>
    </w:rPr>
  </w:style>
  <w:style w:type="paragraph" w:styleId="5">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7">
    <w:name w:val="annotation subject"/>
    <w:basedOn w:val="2"/>
    <w:next w:val="2"/>
    <w:link w:val="22"/>
    <w:semiHidden/>
    <w:unhideWhenUsed/>
    <w:qFormat/>
    <w:uiPriority w:val="0"/>
    <w:rPr>
      <w:b/>
      <w:bCs/>
    </w:r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FollowedHyperlink"/>
    <w:basedOn w:val="10"/>
    <w:semiHidden/>
    <w:unhideWhenUsed/>
    <w:qFormat/>
    <w:uiPriority w:val="0"/>
    <w:rPr>
      <w:color w:val="800080" w:themeColor="followedHyperlink"/>
      <w:u w:val="single"/>
      <w14:textFill>
        <w14:solidFill>
          <w14:schemeClr w14:val="folHlink"/>
        </w14:solidFill>
      </w14:textFill>
    </w:rPr>
  </w:style>
  <w:style w:type="character" w:styleId="12">
    <w:name w:val="Hyperlink"/>
    <w:basedOn w:val="10"/>
    <w:unhideWhenUsed/>
    <w:qFormat/>
    <w:uiPriority w:val="0"/>
    <w:rPr>
      <w:color w:val="0000FF" w:themeColor="hyperlink"/>
      <w:u w:val="single"/>
      <w14:textFill>
        <w14:solidFill>
          <w14:schemeClr w14:val="hlink"/>
        </w14:solidFill>
      </w14:textFill>
    </w:rPr>
  </w:style>
  <w:style w:type="character" w:styleId="13">
    <w:name w:val="annotation reference"/>
    <w:basedOn w:val="10"/>
    <w:semiHidden/>
    <w:unhideWhenUsed/>
    <w:qFormat/>
    <w:uiPriority w:val="0"/>
    <w:rPr>
      <w:sz w:val="21"/>
      <w:szCs w:val="21"/>
    </w:rPr>
  </w:style>
  <w:style w:type="paragraph" w:customStyle="1" w:styleId="14">
    <w:name w:val="_Style 6"/>
    <w:basedOn w:val="1"/>
    <w:qFormat/>
    <w:uiPriority w:val="34"/>
    <w:pPr>
      <w:ind w:firstLine="420" w:firstLineChars="200"/>
    </w:pPr>
    <w:rPr>
      <w:rFonts w:ascii="Calibri" w:hAnsi="Calibri"/>
      <w:szCs w:val="22"/>
    </w:rPr>
  </w:style>
  <w:style w:type="paragraph" w:customStyle="1" w:styleId="15">
    <w:name w:val="Char Char Char"/>
    <w:basedOn w:val="1"/>
    <w:qFormat/>
    <w:uiPriority w:val="0"/>
    <w:rPr>
      <w:szCs w:val="21"/>
    </w:rPr>
  </w:style>
  <w:style w:type="paragraph" w:customStyle="1" w:styleId="16">
    <w:name w:val="Char Char Char Char Char Char Char Char Char Char Char Char Char Char Char Char"/>
    <w:basedOn w:val="1"/>
    <w:qFormat/>
    <w:uiPriority w:val="0"/>
  </w:style>
  <w:style w:type="paragraph" w:customStyle="1" w:styleId="17">
    <w:name w:val="Char Char Char1"/>
    <w:basedOn w:val="1"/>
    <w:qFormat/>
    <w:uiPriority w:val="0"/>
  </w:style>
  <w:style w:type="character" w:customStyle="1" w:styleId="18">
    <w:name w:val="页脚 字符"/>
    <w:basedOn w:val="10"/>
    <w:link w:val="4"/>
    <w:qFormat/>
    <w:uiPriority w:val="0"/>
    <w:rPr>
      <w:kern w:val="2"/>
      <w:sz w:val="18"/>
      <w:szCs w:val="18"/>
    </w:rPr>
  </w:style>
  <w:style w:type="character" w:customStyle="1" w:styleId="19">
    <w:name w:val="页眉 字符"/>
    <w:basedOn w:val="10"/>
    <w:link w:val="5"/>
    <w:qFormat/>
    <w:uiPriority w:val="0"/>
    <w:rPr>
      <w:kern w:val="2"/>
      <w:sz w:val="18"/>
      <w:szCs w:val="18"/>
    </w:rPr>
  </w:style>
  <w:style w:type="character" w:customStyle="1" w:styleId="20">
    <w:name w:val="批注框文本 字符"/>
    <w:basedOn w:val="10"/>
    <w:link w:val="3"/>
    <w:qFormat/>
    <w:uiPriority w:val="0"/>
    <w:rPr>
      <w:kern w:val="2"/>
      <w:sz w:val="18"/>
      <w:szCs w:val="18"/>
    </w:rPr>
  </w:style>
  <w:style w:type="character" w:customStyle="1" w:styleId="21">
    <w:name w:val="批注文字 字符"/>
    <w:basedOn w:val="10"/>
    <w:link w:val="2"/>
    <w:qFormat/>
    <w:uiPriority w:val="0"/>
    <w:rPr>
      <w:kern w:val="2"/>
      <w:sz w:val="21"/>
      <w:szCs w:val="24"/>
    </w:rPr>
  </w:style>
  <w:style w:type="character" w:customStyle="1" w:styleId="22">
    <w:name w:val="批注主题 字符"/>
    <w:basedOn w:val="21"/>
    <w:link w:val="7"/>
    <w:semiHidden/>
    <w:qFormat/>
    <w:uiPriority w:val="0"/>
    <w:rPr>
      <w:b/>
      <w:bCs/>
      <w:kern w:val="2"/>
      <w:sz w:val="21"/>
      <w:szCs w:val="24"/>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4c113b9f-019a-4448-bcac-9bb9b4ce7fce</errorID>
      <errorWord>2026年09月09日</errorWord>
      <group>L1_Knowledge</group>
      <groupName>知识性问题</groupName>
      <ability>L2_Time</ability>
      <abilityName>日期时间</abilityName>
      <candidateList>
        <item>2026年9月9日</item>
      </candidateList>
      <explain>根据日常书写习惯，月份和日期一般会省略前导零。</explain>
      <paraID>6C6B3219</paraID>
      <start>0</start>
      <end>11</end>
      <status>unmodified</status>
      <modifiedWord/>
      <trackRevisions>false</trackRevisions>
    </reviewItem>
    <reviewItem>
      <errorID>3f198ce7-ca03-4947-81a3-376a7b7b80c7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1A2EF1BC</paraID>
      <start>0</start>
      <end>2</end>
      <status>unmodified</status>
      <modifiedWord/>
      <trackRevisions>false</trackRevisions>
    </reviewItem>
    <reviewItem>
      <errorID>1d99b164-fdb5-4d17-9a82-9a20bb2e7905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23D0EF2D</paraID>
      <start>0</start>
      <end>2</end>
      <status>unmodified</status>
      <modifiedWord/>
      <trackRevisions>false</trackRevisions>
    </reviewItem>
    <reviewItem>
      <errorID>2ee7e44f-e9a7-414e-889a-9d657ca9c4f5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4EF17471</paraID>
      <start>0</start>
      <end>2</end>
      <status>unmodified</status>
      <modifiedWord/>
      <trackRevisions>false</trackRevisions>
    </reviewItem>
    <reviewItem>
      <errorID>2dbd9fcf-21ae-48d9-9f1d-7baf130d82f3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2AD783D7</paraID>
      <start>0</start>
      <end>2</end>
      <status>unmodified</status>
      <modifiedWord/>
      <trackRevisions>false</trackRevisions>
    </reviewItem>
    <reviewItem>
      <errorID>c0a5d0e3-c683-485c-93e8-919a13511b41</errorID>
      <errorWord>额</errorWord>
      <group>L1_Word</group>
      <groupName>字词问题</groupName>
      <ability>L2_Typo</ability>
      <abilityName>字词错误</abilityName>
      <candidateList>
        <item>额是</item>
      </candidateList>
      <explain/>
      <paraID>3C751856</paraID>
      <start>26</start>
      <end>27</end>
      <status>unmodified</status>
      <modifiedWord/>
      <trackRevisions>false</trackRevisions>
    </reviewItem>
    <reviewItem>
      <errorID>a4abe4d7-ff1d-49e5-9d09-5c6c55d5f9be</errorID>
      <errorWord>率</errorWord>
      <group>L1_Word</group>
      <groupName>字词问题</groupName>
      <ability>L2_Typo</ability>
      <abilityName>字词错误</abilityName>
      <candidateList>
        <item>率是</item>
      </candidateList>
      <explain/>
      <paraID>3C751856</paraID>
      <start>32</start>
      <end>33</end>
      <status>unmodified</status>
      <modifiedWord/>
      <trackRevisions>false</trackRevisions>
    </reviewItem>
    <reviewItem>
      <errorID>0d9b2e2e-30c8-4db8-b82d-c52bb96eb3ed</errorID>
      <errorWord>之下</errorWord>
      <group>L1_Word</group>
      <groupName>字词问题</groupName>
      <ability>L2_Typo</ability>
      <abilityName>字词错误</abilityName>
      <candidateList>
        <item>下</item>
      </candidateList>
      <explain/>
      <paraID>3C751856</paraID>
      <start>48</start>
      <end>50</end>
      <status>unmodified</status>
      <modifiedWord/>
      <trackRevisions>false</trackRevisions>
    </reviewItem>
    <reviewItem>
      <errorID>341d3438-0525-44c6-9d6d-2c45f20a0f2d</errorID>
      <errorWord>率</errorWord>
      <group>L1_Word</group>
      <groupName>字词问题</groupName>
      <ability>L2_Typo</ability>
      <abilityName>字词错误</abilityName>
      <candidateList>
        <item>率等</item>
      </candidateList>
      <explain/>
      <paraID>3C751856</paraID>
      <start>431</start>
      <end>432</end>
      <status>unmodified</status>
      <modifiedWord/>
      <trackRevisions>false</trackRevisions>
    </reviewItem>
    <reviewItem>
      <errorID>c27059fe-8c23-4e7a-abdd-33aadd34dd41</errorID>
      <errorWord>定点</errorWord>
      <group>L1_Word</group>
      <groupName>字词问题</groupName>
      <ability>L2_Typo</ability>
      <abilityName>字词错误</abilityName>
      <candidateList>
        <item>订单</item>
      </candidateList>
      <explain/>
      <paraID>4DF84287</paraID>
      <start>346</start>
      <end>348</end>
      <status>unmodified</status>
      <modifiedWord/>
      <trackRevisions>false</trackRevisions>
    </reviewItem>
    <reviewItem>
      <errorID>78f18079-0ae9-46a9-b24d-bac3352fd2ea</errorID>
      <errorWord>,</errorWord>
      <group>L1_Format</group>
      <groupName>格式问题</groupName>
      <ability>L2_HalfPunc_CN</ability>
      <abilityName>全半角问题</abilityName>
      <candidateList>
        <item>，</item>
      </candidateList>
      <explain>文本全半角错误。</explain>
      <paraID> C8B93F0</paraID>
      <start>131</start>
      <end>132</end>
      <status>unmodified</status>
      <modifiedWord/>
      <trackRevisions>false</trackRevisions>
    </reviewItem>
    <reviewItem>
      <errorID>cda74632-a80c-4983-b6b7-26fd2c946f6d</errorID>
      <errorWord>资本</errorWord>
      <group>L1_Grammar</group>
      <groupName>语法问题</groupName>
      <ability>L2_Grammar</ability>
      <abilityName>语法错误</abilityName>
      <candidateList>
        <item>进行资本</item>
      </candidateList>
      <explain/>
      <paraID>509F674C</paraID>
      <start>67</start>
      <end>69</end>
      <status>unmodified</status>
      <modifiedWord/>
      <trackRevisions>false</trackRevisions>
    </reviewItem>
    <reviewItem>
      <errorID>cd72e79c-d9b7-47e3-bb11-88c7359e86c2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4D34E952</paraID>
      <start>79</start>
      <end>80</end>
      <status>unmodified</status>
      <modifiedWord/>
      <trackRevisions>false</trackRevisions>
    </reviewItem>
    <reviewItem>
      <errorID>32410762-63e7-48c3-9bca-2df7f727c170</errorID>
      <errorWord>价值方面</errorWord>
      <group>L1_Grammar</group>
      <groupName>语法问题</groupName>
      <ability>L2_Grammar</ability>
      <abilityName>语法错误</abilityName>
      <candidateList>
        <item>价值</item>
      </candidateList>
      <explain/>
      <paraID>45594651</paraID>
      <start>126</start>
      <end>130</end>
      <status>unmodified</status>
      <modifiedWord/>
      <trackRevisions>false</trackRevisions>
    </reviewItem>
    <reviewItem>
      <errorID>e6e631c4-feed-47a3-9f31-a52e3024794b</errorID>
      <errorWord>，在</errorWord>
      <group>L1_Word</group>
      <groupName>字词问题</groupName>
      <ability>L2_Typo</ability>
      <abilityName>字词错误</abilityName>
      <candidateList>
        <item>，</item>
      </candidateList>
      <explain/>
      <paraID>45594651</paraID>
      <start>157</start>
      <end>159</end>
      <status>unmodified</status>
      <modifiedWord/>
      <trackRevisions>false</trackRevisions>
    </reviewItem>
    <reviewItem>
      <errorID>ce179598-af13-4ae0-bfcc-901ca56687d2</errorID>
      <errorWord>缺</errorWord>
      <group>L1_Word</group>
      <groupName>字词问题</groupName>
      <ability>L2_Typo</ability>
      <abilityName>字词错误</abilityName>
      <candidateList>
        <item>却</item>
      </candidateList>
      <explain/>
      <paraID>2B59F4E7</paraID>
      <start>68</start>
      <end>69</end>
      <status>unmodified</status>
      <modifiedWord/>
      <trackRevisions>false</trackRevisions>
    </reviewItem>
    <reviewItem>
      <errorID>95cd1b9b-f492-4d2d-a0ab-7244b8d0073d</errorID>
      <errorWord>亿</errorWord>
      <group>L1_Word</group>
      <groupName>字词问题</groupName>
      <ability>L2_Typo</ability>
      <abilityName>字词错误</abilityName>
      <candidateList>
        <item>亿元</item>
      </candidateList>
      <explain/>
      <paraID>2B59F4E7</paraID>
      <start>209</start>
      <end>210</end>
      <status>unmodified</status>
      <modifiedWord/>
      <trackRevisions>false</trackRevisions>
    </reviewItem>
    <reviewItem>
      <errorID>96d34e71-f250-47fd-aaa7-5f621995de05</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5DCD4AA9</paraID>
      <start>23</start>
      <end>26</end>
      <status>unmodified</status>
      <modifiedWord/>
      <trackRevisions>false</trackRevisions>
    </reviewItem>
    <reviewItem>
      <errorID>52296ed4-bc84-4e04-96fa-08d0519cc351</errorID>
      <errorWord>，</errorWord>
      <group>L1_Word</group>
      <groupName>字词问题</groupName>
      <ability>L2_Typo</ability>
      <abilityName>字词错误</abilityName>
      <candidateList>
        <item>，在</item>
      </candidateList>
      <explain/>
      <paraID>5DCD4AA9</paraID>
      <start>52</start>
      <end>53</end>
      <status>unmodified</status>
      <modifiedWord/>
      <trackRevisions>false</trackRevisions>
    </reviewItem>
    <reviewItem>
      <errorID>e1005f65-1de9-43b1-84d7-82c1132398d8</errorID>
      <errorWord>的</errorWord>
      <group>L1_Word</group>
      <groupName>字词问题</groupName>
      <ability>L2_Typo</ability>
      <abilityName>字词错误</abilityName>
      <candidateList>
        <item>得</item>
      </candidateList>
      <explain/>
      <paraID>  E79984</paraID>
      <start>18</start>
      <end>19</end>
      <status>unmodified</status>
      <modifiedWord/>
      <trackRevisions>false</trackRevisions>
    </reviewItem>
    <reviewItem>
      <errorID>124d4121-2882-4470-8586-6a6fb58fa46a</errorID>
      <errorWord>科技进步一等奖</errorWord>
      <group>L1_Political</group>
      <groupName>政治性问题</groupName>
      <ability>L2_Unpolitical</ability>
      <abilityName>政治敏感错误</abilityName>
      <candidateList>
        <item>科技进步奖一等奖</item>
      </candidateList>
      <explain/>
      <paraID>208DE29F</paraID>
      <start>57</start>
      <end>64</end>
      <status>unmodified</status>
      <modifiedWord/>
      <trackRevisions>false</trackRevisions>
    </reviewItem>
    <reviewItem>
      <errorID>2056c7f9-135a-4441-955d-6640aacdd7f4</errorID>
      <errorWord>绍</errorWord>
      <group>L1_Word</group>
      <groupName>字词问题</groupName>
      <ability>L2_Typo</ability>
      <abilityName>字词错误</abilityName>
      <candidateList>
        <item>绍一</item>
      </candidateList>
      <explain/>
      <paraID>726F2253</paraID>
      <start>3</start>
      <end>4</end>
      <status>unmodified</status>
      <modifiedWord/>
      <trackRevisions>false</trackRevisions>
    </reviewItem>
    <reviewItem>
      <errorID>ffde38ce-6a24-4b99-ba95-5de6f71ddfcb</errorID>
      <errorWord>吋</errorWord>
      <group>L1_Word</group>
      <groupName>字词问题</groupName>
      <ability>L2_Variant</ability>
      <abilityName>异形词</abilityName>
      <candidateList>
        <item>英寸</item>
      </candidateList>
      <explain>词汇[吋]的规范词形写作[英寸]。</explain>
      <paraID>421E27FC</paraID>
      <start>43</start>
      <end>44</end>
      <status>unmodified</status>
      <modifiedWord/>
      <trackRevisions>false</trackRevisions>
    </reviewItem>
    <reviewItem>
      <errorID>033a6699-4270-42b7-8923-d60c06f4fb86</errorID>
      <errorWord>,</errorWord>
      <group>L1_Format</group>
      <groupName>格式问题</groupName>
      <ability>L2_HalfPunc_CN</ability>
      <abilityName>全半角问题</abilityName>
      <candidateList>
        <item>，</item>
      </candidateList>
      <explain>文本全半角错误。</explain>
      <paraID>421E27FC</paraID>
      <start>72</start>
      <end>73</end>
      <status>unmodified</status>
      <modifiedWord/>
      <trackRevisions>false</trackRevisions>
    </reviewItem>
    <reviewItem>
      <errorID>b2d1165c-16fd-4363-93ac-5f55b4e3365b</errorID>
      <errorWord>,</errorWord>
      <group>L1_Format</group>
      <groupName>格式问题</groupName>
      <ability>L2_HalfPunc_CN</ability>
      <abilityName>全半角问题</abilityName>
      <candidateList>
        <item>，</item>
      </candidateList>
      <explain>文本全半角错误。</explain>
      <paraID>421E27FC</paraID>
      <start>98</start>
      <end>99</end>
      <status>unmodified</status>
      <modifiedWord/>
      <trackRevisions>false</trackRevisions>
    </reviewItem>
    <reviewItem>
      <errorID>4bd42dfb-8f80-4692-9ddf-69e2ff59586e</errorID>
      <errorWord>第二季度中</errorWord>
      <group>L1_Word</group>
      <groupName>字词问题</groupName>
      <ability>L2_Typo</ability>
      <abilityName>字词错误</abilityName>
      <candidateList>
        <item>第二季度</item>
      </candidateList>
      <explain/>
      <paraID> BCFE64B</paraID>
      <start>53</start>
      <end>58</end>
      <status>unmodified</status>
      <modifiedWord/>
      <trackRevisions>false</trackRevisions>
    </reviewItem>
    <reviewItem>
      <errorID>e613fbe0-f077-4029-9a74-dbcc71cdb55e</errorID>
      <errorWord>公司这边</errorWord>
      <group>L1_Grammar</group>
      <groupName>语法问题</groupName>
      <ability>L2_Grammar</ability>
      <abilityName>语法错误</abilityName>
      <candidateList>
        <item>公司</item>
      </candidateList>
      <explain/>
      <paraID>7879DC42</paraID>
      <start>27</start>
      <end>31</end>
      <status>unmodified</status>
      <modifiedWord/>
      <trackRevisions>false</trackRevisions>
    </reviewItem>
    <reviewItem>
      <errorID>189a4cf0-d27a-424d-95b6-b35af89b3bfb</errorID>
      <errorWord>香港</errorWord>
      <group>L1_Political</group>
      <groupName>政治性问题</groupName>
      <ability>L2_Unpolitical</ability>
      <abilityName>政治敏感错误</abilityName>
      <candidateList>
        <item>中国香港</item>
      </candidateList>
      <explain>在与其他国家名称连用时，“香港”“澳门”“台湾”的书写格式为“中国香港”“中国澳门”“中国台湾”。</explain>
      <paraID>69267DAF</paraID>
      <start>103</start>
      <end>105</end>
      <status>unmodified</status>
      <modifiedWord/>
      <trackRevisions>false</trackRevisions>
    </reviewItem>
  </reviewItems>
  <config/>
</contractReview>
</file>

<file path=customXml/itemProps1.xml><?xml version="1.0" encoding="utf-8"?>
<ds:datastoreItem xmlns:ds="http://schemas.openxmlformats.org/officeDocument/2006/customXml" ds:itemID="{7eff263c-b714-4b83-b115-a4f321b0de2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8346</Words>
  <Characters>8757</Characters>
  <Lines>20</Lines>
  <Paragraphs>5</Paragraphs>
  <TotalTime>8</TotalTime>
  <ScaleCrop>false</ScaleCrop>
  <LinksUpToDate>false</LinksUpToDate>
  <CharactersWithSpaces>8882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2025-04-30T03:49:00Z</dcterms:created>
  <dc:creator>微软用户</dc:creator>
  <cp:lastModifiedBy>闫凯</cp:lastModifiedBy>
  <cp:lastPrinted>2014-02-21T05:34:00Z</cp:lastPrinted>
  <dcterms:modified xsi:type="dcterms:W3CDTF">2026-09-09T08:52:49Z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3E1BAC35D53A463C92838982F05D0161_13</vt:lpwstr>
  </property>
  <property fmtid="{D5CDD505-2E9C-101B-9397-08002B2CF9AE}" pid="4" name="KSOTemplateDocerSaveRecord">
    <vt:lpwstr>eyJoZGlkIjoiM2UyODQ1ZGNkNGNjODBlMmNkMThkM2FjYzQ5MDE5ZmQiLCJ1c2VySWQiOiIyNDg3ODMyMjkifQ==</vt:lpwstr>
  </property>
</Properties>
</file>