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B4DD2">
      <w:pPr>
        <w:adjustRightInd w:val="0"/>
        <w:snapToGrid w:val="0"/>
        <w:spacing w:line="360" w:lineRule="auto"/>
        <w:jc w:val="center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 xml:space="preserve">证券代码：603363 </w:t>
      </w:r>
      <w:r>
        <w:rPr>
          <w:sz w:val="24"/>
        </w:rPr>
        <w:t xml:space="preserve">         </w:t>
      </w:r>
      <w:r>
        <w:rPr>
          <w:rFonts w:hint="eastAsia"/>
          <w:sz w:val="24"/>
        </w:rPr>
        <w:t xml:space="preserve"> 证券简称：傲农生物  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 xml:space="preserve">  编号：2026-00</w:t>
      </w:r>
      <w:r>
        <w:rPr>
          <w:rFonts w:hint="eastAsia"/>
          <w:sz w:val="24"/>
          <w:lang w:val="en-US" w:eastAsia="zh-CN"/>
        </w:rPr>
        <w:t>2</w:t>
      </w:r>
    </w:p>
    <w:p w14:paraId="2E449666">
      <w:pPr>
        <w:spacing w:before="312" w:beforeLines="100" w:after="156" w:afterLines="50" w:line="400" w:lineRule="exact"/>
        <w:jc w:val="center"/>
        <w:rPr>
          <w:rFonts w:ascii="宋体" w:hAnsi="宋体"/>
          <w:b/>
          <w:bCs/>
          <w:iCs/>
          <w:color w:val="FF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FF0000"/>
          <w:sz w:val="36"/>
          <w:szCs w:val="36"/>
        </w:rPr>
        <w:t>福建傲农生物科技集团股份有限公司</w:t>
      </w:r>
    </w:p>
    <w:p w14:paraId="384B6F3E">
      <w:pPr>
        <w:spacing w:before="156" w:beforeLines="50" w:after="312" w:afterLines="100" w:line="400" w:lineRule="exact"/>
        <w:jc w:val="center"/>
        <w:rPr>
          <w:rFonts w:ascii="宋体" w:hAnsi="宋体"/>
          <w:b/>
          <w:bCs/>
          <w:iCs/>
          <w:color w:val="FF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FF0000"/>
          <w:sz w:val="36"/>
          <w:szCs w:val="36"/>
        </w:rPr>
        <w:t>投资者关系活动记录表</w:t>
      </w:r>
    </w:p>
    <w:tbl>
      <w:tblPr>
        <w:tblStyle w:val="7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315A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94C54">
            <w:pPr>
              <w:spacing w:line="420" w:lineRule="exact"/>
              <w:jc w:val="center"/>
              <w:rPr>
                <w:b/>
                <w:iCs/>
                <w:color w:val="000000"/>
                <w:sz w:val="24"/>
              </w:rPr>
            </w:pPr>
            <w:r>
              <w:rPr>
                <w:rFonts w:hAnsi="宋体"/>
                <w:b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877A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626DA63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rFonts w:hint="eastAsia"/>
                <w:bCs/>
                <w:iCs/>
                <w:sz w:val="24"/>
              </w:rPr>
              <w:t>☑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6243123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35DF3F3A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1D720689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sz w:val="24"/>
              </w:rPr>
              <w:t>☑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int="eastAsia" w:hAnsi="宋体"/>
                <w:kern w:val="0"/>
                <w:sz w:val="24"/>
                <w:u w:val="single"/>
              </w:rPr>
              <w:t>券商策略会</w:t>
            </w:r>
            <w:r>
              <w:rPr>
                <w:rFonts w:hAnsi="宋体"/>
                <w:kern w:val="0"/>
                <w:sz w:val="24"/>
                <w:u w:val="single"/>
              </w:rPr>
              <w:t>）</w:t>
            </w:r>
          </w:p>
        </w:tc>
      </w:tr>
      <w:tr w14:paraId="5B0B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F39DC7">
            <w:pPr>
              <w:spacing w:line="420" w:lineRule="exact"/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iCs/>
                <w:color w:val="000000"/>
                <w:kern w:val="0"/>
                <w:sz w:val="24"/>
              </w:rPr>
              <w:t>参与单位</w:t>
            </w:r>
            <w:r>
              <w:rPr>
                <w:rFonts w:hint="eastAsia" w:hAnsi="宋体"/>
                <w:b/>
                <w:iCs/>
                <w:color w:val="000000"/>
                <w:kern w:val="0"/>
                <w:sz w:val="24"/>
              </w:rPr>
              <w:t>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1534C">
            <w:pPr>
              <w:widowControl/>
              <w:spacing w:before="156" w:beforeLines="50"/>
              <w:jc w:val="left"/>
              <w:textAlignment w:val="center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8月31日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，公司参加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华福证券策略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会，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参与人员：华福证券 赵雅斐、华福证券 申钰雯、华宝基金 王昱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。</w:t>
            </w:r>
          </w:p>
          <w:p w14:paraId="36AC68B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2026年</w:t>
            </w:r>
            <w:r>
              <w:rPr>
                <w:rFonts w:hint="eastAsia" w:cs="宋体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 w:cs="宋体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日，公司通过上证路演中心组织</w:t>
            </w:r>
            <w:r>
              <w:rPr>
                <w:rFonts w:hint="eastAsia" w:cs="宋体"/>
                <w:color w:val="000000"/>
                <w:kern w:val="0"/>
                <w:sz w:val="24"/>
                <w:lang w:val="en-US" w:eastAsia="zh-CN" w:bidi="ar"/>
              </w:rPr>
              <w:t>2026年半年度</w:t>
            </w: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业绩说明会，参会人员为参与本次线上业绩说明会的投资者。</w:t>
            </w:r>
          </w:p>
        </w:tc>
      </w:tr>
      <w:tr w14:paraId="7BA4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7BCEA">
            <w:pPr>
              <w:spacing w:line="420" w:lineRule="exact"/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E1D4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31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日、2026年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  <w:tr w14:paraId="492C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F5D28">
            <w:pPr>
              <w:spacing w:line="420" w:lineRule="exact"/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1D3C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上海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、上证路演中心</w:t>
            </w:r>
          </w:p>
        </w:tc>
      </w:tr>
      <w:tr w14:paraId="20D6A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28A6">
            <w:pPr>
              <w:spacing w:line="420" w:lineRule="exact"/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6E829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董事长 苏明城</w:t>
            </w:r>
          </w:p>
          <w:p w14:paraId="33AE259B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副董事长、总经理 吴有林</w:t>
            </w:r>
          </w:p>
          <w:p w14:paraId="4B165324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独立董事 游相华</w:t>
            </w:r>
          </w:p>
          <w:p w14:paraId="6209E9D5">
            <w:pPr>
              <w:spacing w:line="420" w:lineRule="exac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副总经理、财务总监 杨州</w:t>
            </w:r>
          </w:p>
          <w:p w14:paraId="16277544">
            <w:pPr>
              <w:spacing w:line="420" w:lineRule="exact"/>
              <w:rPr>
                <w:rFonts w:hint="default" w:eastAsia="宋体"/>
                <w:bCs/>
                <w:sz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>副总经理 彭江</w:t>
            </w:r>
          </w:p>
          <w:p w14:paraId="3FFD9349">
            <w:pPr>
              <w:spacing w:line="420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副总经理、董事会秘书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  <w:lang w:val="en-US" w:eastAsia="zh-CN"/>
              </w:rPr>
              <w:t>袁小平</w:t>
            </w:r>
          </w:p>
        </w:tc>
      </w:tr>
      <w:tr w14:paraId="6CC4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8897F">
            <w:pPr>
              <w:spacing w:line="420" w:lineRule="exact"/>
              <w:jc w:val="center"/>
              <w:rPr>
                <w:b/>
                <w:iCs/>
                <w:color w:val="00000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5DDA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一、</w:t>
            </w:r>
            <w:r>
              <w:rPr>
                <w:rFonts w:hint="eastAsia" w:ascii="Times New Roman" w:hAnsi="Times New Roman"/>
                <w:b/>
                <w:sz w:val="24"/>
                <w:szCs w:val="24"/>
                <w:lang w:val="en-US" w:eastAsia="zh-CN"/>
              </w:rPr>
              <w:t>公司上半年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经营情况</w:t>
            </w:r>
          </w:p>
          <w:p w14:paraId="6BDE9F8E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上半年，公司实现</w:t>
            </w:r>
            <w:r>
              <w:rPr>
                <w:rFonts w:ascii="Times New Roman" w:hAnsi="Times New Roman"/>
                <w:sz w:val="24"/>
                <w:szCs w:val="24"/>
              </w:rPr>
              <w:t>饲料外销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量97.36</w:t>
            </w:r>
            <w:r>
              <w:rPr>
                <w:rFonts w:ascii="Times New Roman" w:hAnsi="Times New Roman"/>
                <w:sz w:val="24"/>
                <w:szCs w:val="24"/>
              </w:rPr>
              <w:t>万吨，收入</w:t>
            </w:r>
            <w:r>
              <w:rPr>
                <w:rFonts w:hint="eastAsia" w:ascii="Times New Roman" w:hAnsi="Times New Roman"/>
                <w:sz w:val="24"/>
                <w:szCs w:val="24"/>
              </w:rPr>
              <w:t>31.43</w:t>
            </w:r>
            <w:r>
              <w:rPr>
                <w:rFonts w:ascii="Times New Roman" w:hAnsi="Times New Roman"/>
                <w:sz w:val="24"/>
                <w:szCs w:val="24"/>
              </w:rPr>
              <w:t>亿元，毛利率5.5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%；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生猪销量110.08</w:t>
            </w:r>
            <w:r>
              <w:rPr>
                <w:rFonts w:ascii="Times New Roman" w:hAnsi="Times New Roman"/>
                <w:sz w:val="24"/>
                <w:szCs w:val="24"/>
              </w:rPr>
              <w:t>万头，收入</w:t>
            </w:r>
            <w:r>
              <w:rPr>
                <w:rFonts w:hint="eastAsia" w:ascii="Times New Roman" w:hAnsi="Times New Roman"/>
                <w:sz w:val="24"/>
                <w:szCs w:val="24"/>
              </w:rPr>
              <w:t>7.64</w:t>
            </w:r>
            <w:r>
              <w:rPr>
                <w:rFonts w:ascii="Times New Roman" w:hAnsi="Times New Roman"/>
                <w:sz w:val="24"/>
                <w:szCs w:val="24"/>
              </w:rPr>
              <w:t>亿元；屠宰</w:t>
            </w:r>
            <w:r>
              <w:rPr>
                <w:rFonts w:hint="eastAsia" w:ascii="Times New Roman" w:hAnsi="Times New Roman"/>
                <w:sz w:val="24"/>
                <w:szCs w:val="24"/>
              </w:rPr>
              <w:t>量83.17</w:t>
            </w:r>
            <w:r>
              <w:rPr>
                <w:rFonts w:ascii="Times New Roman" w:hAnsi="Times New Roman"/>
                <w:sz w:val="24"/>
                <w:szCs w:val="24"/>
              </w:rPr>
              <w:t>万头，</w:t>
            </w:r>
            <w:r>
              <w:rPr>
                <w:rFonts w:hint="eastAsia" w:ascii="Times New Roman" w:hAnsi="Times New Roman"/>
                <w:sz w:val="24"/>
                <w:szCs w:val="24"/>
              </w:rPr>
              <w:t>屠宰与肉制品加工</w:t>
            </w:r>
            <w:r>
              <w:rPr>
                <w:rFonts w:ascii="Times New Roman" w:hAnsi="Times New Roman"/>
                <w:sz w:val="24"/>
                <w:szCs w:val="24"/>
              </w:rPr>
              <w:t>收入</w:t>
            </w:r>
            <w:r>
              <w:rPr>
                <w:rFonts w:hint="eastAsia" w:ascii="Times New Roman" w:hAnsi="Times New Roman"/>
                <w:sz w:val="24"/>
                <w:szCs w:val="24"/>
              </w:rPr>
              <w:t>6.03</w:t>
            </w:r>
            <w:r>
              <w:rPr>
                <w:rFonts w:ascii="Times New Roman" w:hAnsi="Times New Roman"/>
                <w:sz w:val="24"/>
                <w:szCs w:val="24"/>
              </w:rPr>
              <w:t>亿元，毛利率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7.64</w:t>
            </w:r>
            <w:r>
              <w:rPr>
                <w:rFonts w:ascii="Times New Roman" w:hAnsi="Times New Roman"/>
                <w:sz w:val="24"/>
                <w:szCs w:val="24"/>
              </w:rPr>
              <w:t>%；整体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营业</w:t>
            </w:r>
            <w:r>
              <w:rPr>
                <w:rFonts w:ascii="Times New Roman" w:hAnsi="Times New Roman"/>
                <w:sz w:val="24"/>
                <w:szCs w:val="24"/>
              </w:rPr>
              <w:t>收入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45.21</w:t>
            </w:r>
            <w:r>
              <w:rPr>
                <w:rFonts w:ascii="Times New Roman" w:hAnsi="Times New Roman"/>
                <w:sz w:val="24"/>
                <w:szCs w:val="24"/>
              </w:rPr>
              <w:t>亿元，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归母净利润-1.90亿元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</w:t>
            </w:r>
          </w:p>
          <w:p w14:paraId="6273D864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</w:rPr>
            </w:pPr>
          </w:p>
          <w:p w14:paraId="59ADAE95">
            <w:pPr>
              <w:pStyle w:val="11"/>
              <w:spacing w:line="460" w:lineRule="exact"/>
              <w:ind w:left="-2" w:leftChars="-1" w:firstLine="48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、问答环节</w:t>
            </w:r>
          </w:p>
          <w:p w14:paraId="427F1187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1、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公司</w:t>
            </w:r>
            <w:r>
              <w:rPr>
                <w:rFonts w:hint="eastAsia" w:ascii="Times New Roman" w:hAnsi="Times New Roman"/>
                <w:b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年的出栏目标是多少？后续产能如何安排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？</w:t>
            </w:r>
          </w:p>
          <w:p w14:paraId="7DB112E2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答：公司历史能繁母猪存栏峰值超30万头；截至2026年6月末，公司能繁母猪存栏约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Times New Roman" w:hAnsi="Times New Roman"/>
                <w:sz w:val="24"/>
                <w:szCs w:val="24"/>
              </w:rPr>
              <w:t>万头，8月末存栏规模基本维持该水平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。2026年公司生猪出栏全年目标约240万头，目前相关生产经营按照年初既定经营计划有序推进。</w:t>
            </w:r>
          </w:p>
          <w:p w14:paraId="192C58BA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47F2FCB0">
            <w:pPr>
              <w:pStyle w:val="11"/>
              <w:spacing w:line="460" w:lineRule="exact"/>
              <w:ind w:left="-2" w:leftChars="-1" w:firstLine="48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2、公司近期养殖成本？</w:t>
            </w:r>
          </w:p>
          <w:p w14:paraId="05C62FBE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答：公司2026年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/>
                <w:sz w:val="24"/>
                <w:szCs w:val="24"/>
              </w:rPr>
              <w:t>季度育肥完全成本为12.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Times New Roman" w:hAnsi="Times New Roman"/>
                <w:sz w:val="24"/>
                <w:szCs w:val="24"/>
              </w:rPr>
              <w:t>元/公斤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断奶成本271.14元/头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</w:t>
            </w:r>
          </w:p>
          <w:p w14:paraId="5C56B1E0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2DC009F9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3、公司目前使用的种猪品系是什么？后续品系调整方向是怎样的？</w:t>
            </w:r>
          </w:p>
          <w:p w14:paraId="72A25415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答：公司目前使用的种猪品系包括丹系、托佩克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4"/>
                <w:szCs w:val="24"/>
              </w:rPr>
              <w:t>公司按照育种规划和丹系推进战略，加快高繁快长猪群的更新与扩群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逐步提升丹系群体占比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</w:t>
            </w:r>
          </w:p>
          <w:p w14:paraId="167455D3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07BEFA04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/>
                <w:b/>
                <w:sz w:val="24"/>
                <w:szCs w:val="24"/>
                <w:lang w:val="en-US" w:eastAsia="zh-CN"/>
              </w:rPr>
              <w:t>屠宰业务情况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？</w:t>
            </w:r>
          </w:p>
          <w:p w14:paraId="1DAD6743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答：公司屠宰业务聚焦福建区域，2025年全年屠宰量116.20万头，2026年上半年屠宰量已达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83.17</w:t>
            </w:r>
            <w:r>
              <w:rPr>
                <w:rFonts w:hint="eastAsia" w:ascii="Times New Roman" w:hAnsi="Times New Roman"/>
                <w:sz w:val="24"/>
                <w:szCs w:val="24"/>
              </w:rPr>
              <w:t>万头，预计2026年全年屠宰业务将实现较大幅度增长。业务结构上，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代</w:t>
            </w:r>
            <w:r>
              <w:rPr>
                <w:rFonts w:hint="eastAsia" w:ascii="Times New Roman" w:hAnsi="Times New Roman"/>
                <w:sz w:val="24"/>
                <w:szCs w:val="24"/>
              </w:rPr>
              <w:t>宰业务和自宰业务的比例约为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3:1</w:t>
            </w:r>
            <w:r>
              <w:rPr>
                <w:rFonts w:ascii="Times New Roman" w:hAnsi="Times New Roman"/>
                <w:sz w:val="24"/>
                <w:szCs w:val="24"/>
              </w:rPr>
              <w:t>。</w:t>
            </w:r>
          </w:p>
          <w:p w14:paraId="6EC006A4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4EA6A868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5、公司食品深加工业务的布局</w:t>
            </w:r>
            <w:r>
              <w:rPr>
                <w:rFonts w:hint="eastAsia" w:ascii="Times New Roman" w:hAnsi="Times New Roman"/>
                <w:b/>
                <w:sz w:val="24"/>
                <w:szCs w:val="24"/>
                <w:lang w:val="en-US" w:eastAsia="zh-CN"/>
              </w:rPr>
              <w:t>与规划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？</w:t>
            </w:r>
          </w:p>
          <w:p w14:paraId="1D5EE458">
            <w:pPr>
              <w:pStyle w:val="11"/>
              <w:spacing w:line="460" w:lineRule="exact"/>
              <w:ind w:left="-2" w:leftChars="-1" w:firstLine="480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答：食品深加工业务当前体量较小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4"/>
                <w:szCs w:val="24"/>
              </w:rPr>
              <w:t>公司重点布局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Times New Roman" w:hAnsi="Times New Roman"/>
                <w:sz w:val="24"/>
                <w:szCs w:val="24"/>
              </w:rPr>
              <w:t>端客户，覆盖中式连锁餐饮、零售渠道、福建本地学校、部队、政府食堂等，产品包含猪肉、牛肉类制品，暂时不布局全国性C端产品。</w:t>
            </w:r>
          </w:p>
          <w:p w14:paraId="758ED73D">
            <w:pPr>
              <w:pStyle w:val="11"/>
              <w:numPr>
                <w:ilvl w:val="255"/>
                <w:numId w:val="0"/>
              </w:numPr>
              <w:spacing w:line="460" w:lineRule="exact"/>
              <w:ind w:left="418" w:leftChars="199"/>
              <w:rPr>
                <w:rFonts w:ascii="Times New Roman" w:hAnsi="Times New Roman"/>
                <w:sz w:val="24"/>
                <w:szCs w:val="24"/>
              </w:rPr>
            </w:pPr>
          </w:p>
          <w:p w14:paraId="7AB02B28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6、公司饲料业务的经营现状以及未来调整规划？</w:t>
            </w:r>
          </w:p>
          <w:p w14:paraId="59D8FCD6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答：公司饲料业务已制定恢复性目标，目前正在对饲料事业部的战略规划进行调整，核心导向是做精质量、优先保证利润。2026年公司将剥离相关亏损包袱，具体措施包括对亏损工厂采取关停、剥离、对外出租等方式处理，锁定亏损上限，避免盲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目扩张；同时严格控制赊销规模、收缩业务杠杆，避免养殖低谷期的应收账款风险。当前不追求体量扩张，核心以保证利润为首要目标。</w:t>
            </w:r>
          </w:p>
          <w:p w14:paraId="699DEF38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  <w:highlight w:val="none"/>
              </w:rPr>
            </w:pPr>
          </w:p>
          <w:p w14:paraId="7ACCFD16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  <w:highlight w:val="none"/>
              </w:rPr>
              <w:t>7、上半年业绩亏损的原因，何时扭亏？</w:t>
            </w:r>
          </w:p>
          <w:p w14:paraId="5521FCD1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答：上半年业绩亏损主要有两方面原因：第一，受生猪市场行情波动影响，本期生猪销售价格较低，且生猪出栏量同比增加，导致养猪业务亏损较大；第二，2025年上半年公司确认了约3.8亿元的重整收益，而本期重整收益已大幅减少。从经营层面看，公司各项业务稳步恢复，2026年1-6月营业收入45.21亿元，同比增长14.25%；饲料销量、生猪出栏量和存栏量均保持同比增长。公司高度重视本期的经营亏损，将持续聚焦主业、深化成本管控，努力改善盈利能力。</w:t>
            </w:r>
          </w:p>
          <w:p w14:paraId="3D3859B8">
            <w:pPr>
              <w:pStyle w:val="11"/>
              <w:numPr>
                <w:ilvl w:val="255"/>
                <w:numId w:val="0"/>
              </w:numPr>
              <w:spacing w:line="460" w:lineRule="exact"/>
              <w:ind w:left="418" w:leftChars="199"/>
              <w:rPr>
                <w:rFonts w:ascii="Times New Roman" w:hAnsi="Times New Roman"/>
                <w:sz w:val="24"/>
                <w:szCs w:val="24"/>
                <w:highlight w:val="none"/>
              </w:rPr>
            </w:pPr>
          </w:p>
          <w:p w14:paraId="50FF0D18">
            <w:pPr>
              <w:pStyle w:val="11"/>
              <w:spacing w:line="460" w:lineRule="exact"/>
              <w:ind w:firstLine="489"/>
              <w:rPr>
                <w:rFonts w:ascii="Times New Roman" w:hAnsi="Times New Roman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  <w:highlight w:val="none"/>
              </w:rPr>
              <w:t>8、下半年有何计划？</w:t>
            </w:r>
          </w:p>
          <w:p w14:paraId="74B24B85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答：公司下半年的经营主线是“稳字当头、持续降本”，核心目标是推动主业盈利能力的实质性修复，而非追求短期规模的盲目扩张。</w:t>
            </w:r>
          </w:p>
          <w:p w14:paraId="533190C2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第一，在降本增效方面，我们将通过提高产能利用率、持续开展种猪选育改良、优化饲料配方与饲喂模式、提升人均效率、强化生物安全与疫病防控等确定性举措，持续压降养殖成本。2026年二季度，公司育肥完全成本已降至12.28元/公斤，断奶成本271.14元/头，正稳步向年度目标（育肥成本12.25元/公斤、断奶成本270元/头、PSY 28.5头）靠近。近期断奶成本已降到目标断奶成本以下。</w:t>
            </w:r>
          </w:p>
          <w:p w14:paraId="1FF73162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第二，在出栏与产能节奏上，公司不盲目新增产能，而是根据猪价行情动态调整出栏结构，行情承压阶段更多输出仔猪，以快速回笼现金流、平滑周期波动。</w:t>
            </w:r>
          </w:p>
          <w:p w14:paraId="3F1358FB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第三，在现金流安全上，公司坚持审慎经营、严控资本开支、不再大规模新增产能，重点盘活存量资产，优先保障整体现金流安全、守住经营安全垫。</w:t>
            </w:r>
          </w:p>
          <w:p w14:paraId="093705CD">
            <w:pPr>
              <w:pStyle w:val="11"/>
              <w:spacing w:line="460" w:lineRule="exact"/>
              <w:ind w:left="-2" w:leftChars="-1" w:firstLine="480"/>
              <w:rPr>
                <w:rFonts w:hint="eastAsia"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第四，业务结构上，饲料业务已率先修复，上半年收入31.43亿元、同比增长19.96%，外销量97.36万吨、增长17.10%，将为公司提供稳定的现金流支撑。</w:t>
            </w:r>
          </w:p>
          <w:p w14:paraId="65C0C73C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  <w:highlight w:val="none"/>
              </w:rPr>
            </w:pPr>
          </w:p>
          <w:p w14:paraId="4B30C0F2">
            <w:pPr>
              <w:pStyle w:val="11"/>
              <w:spacing w:line="460" w:lineRule="exact"/>
              <w:ind w:left="-2" w:leftChars="-1" w:firstLine="480" w:firstLineChars="0"/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highlight w:val="none"/>
              </w:rPr>
              <w:t>9、有新的项目投入吗？</w:t>
            </w:r>
          </w:p>
          <w:p w14:paraId="7D342C7A">
            <w:pPr>
              <w:pStyle w:val="11"/>
              <w:spacing w:line="460" w:lineRule="exact"/>
              <w:ind w:left="-2" w:leftChars="-1" w:firstLine="48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答：公司坚持审慎经营、严控资本开支，饲料、养猪业务无新建产能计划，屠宰业务采用轻资产模式扩张运营，食品业务有少量设备投资，后续根据业务情况有序增加投资。</w:t>
            </w:r>
          </w:p>
          <w:p w14:paraId="09FE53C8">
            <w:pPr>
              <w:pStyle w:val="11"/>
              <w:numPr>
                <w:ilvl w:val="255"/>
                <w:numId w:val="0"/>
              </w:numPr>
              <w:spacing w:line="460" w:lineRule="exact"/>
              <w:rPr>
                <w:bCs/>
                <w:iCs/>
                <w:color w:val="000000"/>
                <w:sz w:val="24"/>
              </w:rPr>
            </w:pPr>
            <w:bookmarkStart w:id="0" w:name="_GoBack"/>
            <w:bookmarkEnd w:id="0"/>
          </w:p>
        </w:tc>
      </w:tr>
      <w:tr w14:paraId="69E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5E7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3888C">
            <w:pPr>
              <w:spacing w:line="420" w:lineRule="exact"/>
              <w:rPr>
                <w:rFonts w:hint="eastAsia" w:eastAsia="宋体"/>
                <w:bCs/>
                <w:iCs/>
                <w:color w:val="000000"/>
                <w:sz w:val="24"/>
                <w:lang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6A05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E975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86EC1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2DFB447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6CD73"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zNTRmOGQzYmI4NDMzZDQ1ZDVkYTZmZDQ1Y2Q1NTAifQ=="/>
  </w:docVars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38CD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2E4C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4C9B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B40DF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D6B9B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57A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1D81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0917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91B65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250315A"/>
    <w:rsid w:val="0280414D"/>
    <w:rsid w:val="036D498E"/>
    <w:rsid w:val="039D711A"/>
    <w:rsid w:val="03D116D7"/>
    <w:rsid w:val="080161A0"/>
    <w:rsid w:val="0C79096B"/>
    <w:rsid w:val="110F27D4"/>
    <w:rsid w:val="1371322C"/>
    <w:rsid w:val="148B1F38"/>
    <w:rsid w:val="161D2163"/>
    <w:rsid w:val="165F1E99"/>
    <w:rsid w:val="16AC65DE"/>
    <w:rsid w:val="1B2418A5"/>
    <w:rsid w:val="1BCB6C14"/>
    <w:rsid w:val="1CAB7512"/>
    <w:rsid w:val="1E053D9A"/>
    <w:rsid w:val="1FBFC074"/>
    <w:rsid w:val="2141581D"/>
    <w:rsid w:val="23E84F6F"/>
    <w:rsid w:val="241D45BF"/>
    <w:rsid w:val="26DB3F7E"/>
    <w:rsid w:val="28634650"/>
    <w:rsid w:val="29FC03D5"/>
    <w:rsid w:val="2B18263D"/>
    <w:rsid w:val="2B53092A"/>
    <w:rsid w:val="2CD27FC6"/>
    <w:rsid w:val="31C94A85"/>
    <w:rsid w:val="322D68AE"/>
    <w:rsid w:val="33A00D3F"/>
    <w:rsid w:val="36B33F6D"/>
    <w:rsid w:val="36FB9E1F"/>
    <w:rsid w:val="39B05EE5"/>
    <w:rsid w:val="3BE02B3F"/>
    <w:rsid w:val="3BE63153"/>
    <w:rsid w:val="3BFA3B96"/>
    <w:rsid w:val="3CEF3472"/>
    <w:rsid w:val="3E4F05D6"/>
    <w:rsid w:val="3EFF16E9"/>
    <w:rsid w:val="3FAA7EF8"/>
    <w:rsid w:val="4249371A"/>
    <w:rsid w:val="42733C91"/>
    <w:rsid w:val="429A2BD1"/>
    <w:rsid w:val="496D37B2"/>
    <w:rsid w:val="542C409C"/>
    <w:rsid w:val="5834342F"/>
    <w:rsid w:val="595F6BA9"/>
    <w:rsid w:val="5A663457"/>
    <w:rsid w:val="5AB72A73"/>
    <w:rsid w:val="5C585D48"/>
    <w:rsid w:val="5F41386E"/>
    <w:rsid w:val="5FC02FBB"/>
    <w:rsid w:val="607019F9"/>
    <w:rsid w:val="6B163BB3"/>
    <w:rsid w:val="6B2D043A"/>
    <w:rsid w:val="6DE80D95"/>
    <w:rsid w:val="6EB20ABF"/>
    <w:rsid w:val="72F04654"/>
    <w:rsid w:val="75A26333"/>
    <w:rsid w:val="762C131D"/>
    <w:rsid w:val="77CF73AC"/>
    <w:rsid w:val="78FF0116"/>
    <w:rsid w:val="7A8C5C03"/>
    <w:rsid w:val="7B823DB1"/>
    <w:rsid w:val="7D7D1165"/>
    <w:rsid w:val="7F5318E2"/>
    <w:rsid w:val="7FEF2A8B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paragraph" w:customStyle="1" w:styleId="11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2">
    <w:name w:val="Char Char Char"/>
    <w:basedOn w:val="1"/>
    <w:qFormat/>
    <w:uiPriority w:val="0"/>
    <w:rPr>
      <w:szCs w:val="21"/>
    </w:rPr>
  </w:style>
  <w:style w:type="paragraph" w:customStyle="1" w:styleId="13">
    <w:name w:val="Char Char Char Char Char Char Char Char Char Char Char Char Char Char Char Char"/>
    <w:basedOn w:val="1"/>
    <w:qFormat/>
    <w:uiPriority w:val="0"/>
  </w:style>
  <w:style w:type="paragraph" w:customStyle="1" w:styleId="14">
    <w:name w:val="Char Char Char1"/>
    <w:basedOn w:val="1"/>
    <w:qFormat/>
    <w:uiPriority w:val="0"/>
  </w:style>
  <w:style w:type="character" w:customStyle="1" w:styleId="15">
    <w:name w:val="页脚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6">
    <w:name w:val="页眉 字符"/>
    <w:basedOn w:val="8"/>
    <w:link w:val="4"/>
    <w:qFormat/>
    <w:uiPriority w:val="0"/>
    <w:rPr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p14"/>
    <w:basedOn w:val="1"/>
    <w:autoRedefine/>
    <w:qFormat/>
    <w:uiPriority w:val="0"/>
    <w:pPr>
      <w:jc w:val="center"/>
    </w:pPr>
    <w:rPr>
      <w:rFonts w:ascii="Trebuchet MS" w:hAnsi="Trebuchet MS"/>
      <w:color w:val="000000"/>
      <w:kern w:val="0"/>
      <w:sz w:val="24"/>
    </w:rPr>
  </w:style>
  <w:style w:type="paragraph" w:customStyle="1" w:styleId="1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1808</Words>
  <Characters>1990</Characters>
  <Lines>25</Lines>
  <Paragraphs>7</Paragraphs>
  <TotalTime>14</TotalTime>
  <ScaleCrop>false</ScaleCrop>
  <LinksUpToDate>false</LinksUpToDate>
  <CharactersWithSpaces>2053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Choi</cp:lastModifiedBy>
  <cp:lastPrinted>2025-12-24T05:44:00Z</cp:lastPrinted>
  <dcterms:modified xsi:type="dcterms:W3CDTF">2026-09-09T08:47:34Z</dcterms:modified>
  <cp:revision>264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0F2CF652FB3546AD9B1F3EB808533A66_13</vt:lpwstr>
  </property>
  <property fmtid="{D5CDD505-2E9C-101B-9397-08002B2CF9AE}" pid="4" name="KSOTemplateDocerSaveRecord">
    <vt:lpwstr>eyJoZGlkIjoiYjQyZTcyZDE4ZWM3NjU0ZDUzYTNmMjg2NTFmZjU3ZmIiLCJ1c2VySWQiOiIzNTA3ODQzNDEifQ==</vt:lpwstr>
  </property>
</Properties>
</file>