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827F7">
      <w:pPr>
        <w:spacing w:before="47" w:line="219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证券代码：60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3284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 xml:space="preserve">                                 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 xml:space="preserve">  </w:t>
      </w: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证券简称：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林平发展</w:t>
      </w:r>
    </w:p>
    <w:p w14:paraId="6C82002D">
      <w:pPr>
        <w:spacing w:line="329" w:lineRule="auto"/>
        <w:rPr>
          <w:lang w:eastAsia="zh-CN"/>
        </w:rPr>
      </w:pPr>
    </w:p>
    <w:p w14:paraId="524DA932">
      <w:pPr>
        <w:spacing w:line="330" w:lineRule="auto"/>
        <w:rPr>
          <w:lang w:eastAsia="zh-CN"/>
        </w:rPr>
      </w:pPr>
    </w:p>
    <w:p w14:paraId="0860BDE8">
      <w:pPr>
        <w:spacing w:before="104" w:line="220" w:lineRule="auto"/>
        <w:jc w:val="center"/>
        <w:outlineLvl w:val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lang w:eastAsia="zh-CN"/>
        </w:rPr>
        <w:t>安徽林平循环发展股份有限公司</w:t>
      </w:r>
    </w:p>
    <w:p w14:paraId="02621F7D">
      <w:pPr>
        <w:spacing w:before="243" w:line="220" w:lineRule="auto"/>
        <w:jc w:val="center"/>
        <w:outlineLvl w:val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  <w:lang w:eastAsia="zh-CN"/>
        </w:rPr>
        <w:t>投资者关系活动记录表</w:t>
      </w:r>
    </w:p>
    <w:p w14:paraId="095EA65A">
      <w:pPr>
        <w:spacing w:line="382" w:lineRule="auto"/>
        <w:rPr>
          <w:highlight w:val="yellow"/>
          <w:lang w:eastAsia="zh-CN"/>
        </w:rPr>
      </w:pPr>
    </w:p>
    <w:p w14:paraId="0F20770F">
      <w:pPr>
        <w:spacing w:before="78" w:line="220" w:lineRule="auto"/>
        <w:ind w:left="329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  <w:lang w:eastAsia="zh-CN"/>
        </w:rPr>
        <w:t>编号：2026-00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>4</w:t>
      </w:r>
    </w:p>
    <w:tbl>
      <w:tblPr>
        <w:tblStyle w:val="12"/>
        <w:tblW w:w="89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6982"/>
      </w:tblGrid>
      <w:tr w14:paraId="5C95F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  <w:vAlign w:val="center"/>
          </w:tcPr>
          <w:p w14:paraId="6B8432EF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312" w:lineRule="auto"/>
              <w:ind w:left="114" w:right="107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7"/>
              </w:rPr>
              <w:t>投资者关系活动类别</w:t>
            </w:r>
          </w:p>
        </w:tc>
        <w:tc>
          <w:tcPr>
            <w:tcW w:w="6982" w:type="dxa"/>
          </w:tcPr>
          <w:p w14:paraId="49A2EA21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5" w:line="219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lang w:eastAsia="zh-CN"/>
              </w:rPr>
              <w:t>□特定对象调研</w:t>
            </w:r>
            <w:r>
              <w:rPr>
                <w:rFonts w:hint="default" w:ascii="Times New Roman" w:hAnsi="Times New Roman" w:eastAsia="宋体" w:cs="Times New Roman"/>
                <w:spacing w:val="4"/>
                <w:lang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spacing w:val="-5"/>
                <w:lang w:eastAsia="zh-CN"/>
              </w:rPr>
              <w:t>□分析师会议</w:t>
            </w:r>
          </w:p>
          <w:p w14:paraId="09FCDA6B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83" w:line="219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lang w:eastAsia="zh-CN"/>
              </w:rPr>
              <w:t>□媒体采访</w:t>
            </w:r>
            <w:r>
              <w:rPr>
                <w:rFonts w:hint="default" w:ascii="Times New Roman" w:hAnsi="Times New Roman" w:eastAsia="宋体" w:cs="Times New Roman"/>
                <w:spacing w:val="3"/>
                <w:lang w:eastAsia="zh-CN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spacing w:val="-5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-7"/>
                <w:lang w:eastAsia="zh-CN"/>
              </w:rPr>
              <w:t>业绩说明会</w:t>
            </w:r>
          </w:p>
          <w:p w14:paraId="4453F9F6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83" w:line="219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lang w:eastAsia="zh-CN"/>
              </w:rPr>
              <w:t>□新闻发布会</w:t>
            </w:r>
            <w:r>
              <w:rPr>
                <w:rFonts w:hint="default" w:ascii="Times New Roman" w:hAnsi="Times New Roman" w:eastAsia="宋体" w:cs="Times New Roman"/>
                <w:spacing w:val="3"/>
                <w:lang w:eastAsia="zh-CN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spacing w:val="-6"/>
                <w:lang w:eastAsia="zh-CN"/>
              </w:rPr>
              <w:t>☑路演活动</w:t>
            </w:r>
          </w:p>
          <w:p w14:paraId="64A929F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83" w:line="219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lang w:eastAsia="zh-CN"/>
              </w:rPr>
              <w:t>□现场参观</w:t>
            </w:r>
            <w:r>
              <w:rPr>
                <w:rFonts w:hint="default" w:ascii="Times New Roman" w:hAnsi="Times New Roman" w:eastAsia="宋体" w:cs="Times New Roman"/>
                <w:spacing w:val="3"/>
                <w:lang w:eastAsia="zh-C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spacing w:val="-7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-7"/>
                <w:lang w:eastAsia="zh-CN"/>
              </w:rPr>
              <w:t>电话会议</w:t>
            </w:r>
          </w:p>
          <w:p w14:paraId="48BB82C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82" w:line="220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lang w:eastAsia="zh-CN"/>
              </w:rPr>
              <w:t>□其他 （</w:t>
            </w:r>
            <w:r>
              <w:rPr>
                <w:rFonts w:hint="default" w:ascii="Times New Roman" w:hAnsi="Times New Roman" w:eastAsia="宋体" w:cs="Times New Roman"/>
                <w:spacing w:val="-2"/>
                <w:u w:val="single"/>
                <w:lang w:eastAsia="zh-CN"/>
              </w:rPr>
              <w:t>请文字说明其他活动内容）</w:t>
            </w:r>
          </w:p>
        </w:tc>
      </w:tr>
      <w:tr w14:paraId="4F7AF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1987" w:type="dxa"/>
            <w:vAlign w:val="center"/>
          </w:tcPr>
          <w:p w14:paraId="00C21A8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312" w:lineRule="auto"/>
              <w:ind w:left="114" w:right="107"/>
              <w:jc w:val="both"/>
              <w:rPr>
                <w:rFonts w:hint="default" w:ascii="Times New Roman" w:hAnsi="Times New Roman" w:eastAsia="宋体" w:cs="Times New Roman"/>
                <w:b/>
                <w:bCs/>
                <w:spacing w:val="7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7"/>
              </w:rPr>
              <w:t>参与单位名称</w:t>
            </w:r>
          </w:p>
        </w:tc>
        <w:tc>
          <w:tcPr>
            <w:tcW w:w="6982" w:type="dxa"/>
          </w:tcPr>
          <w:p w14:paraId="38D0FA9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（排名不分先后）</w:t>
            </w:r>
          </w:p>
          <w:p w14:paraId="6BFDA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鹏华基金管理有限公司  招商基金管理有限公司</w:t>
            </w:r>
          </w:p>
          <w:p w14:paraId="25AF2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大成基金管理有限公司  国联民生证券股份有限公司</w:t>
            </w:r>
          </w:p>
          <w:p w14:paraId="5C940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摩根士丹利基金管理(中国)有限公司</w:t>
            </w:r>
          </w:p>
        </w:tc>
      </w:tr>
      <w:tr w14:paraId="07804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  <w:vAlign w:val="center"/>
          </w:tcPr>
          <w:p w14:paraId="3B5DF04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2" w:line="219" w:lineRule="auto"/>
              <w:ind w:left="111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</w:rPr>
              <w:t>会议时间</w:t>
            </w:r>
          </w:p>
        </w:tc>
        <w:tc>
          <w:tcPr>
            <w:tcW w:w="6982" w:type="dxa"/>
          </w:tcPr>
          <w:p w14:paraId="1DD82140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2" w:line="220" w:lineRule="auto"/>
              <w:ind w:left="11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  <w:t>2026年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  <w:t>8日</w:t>
            </w:r>
          </w:p>
        </w:tc>
      </w:tr>
      <w:tr w14:paraId="6CF75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  <w:vAlign w:val="center"/>
          </w:tcPr>
          <w:p w14:paraId="5FA2B85C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219" w:lineRule="auto"/>
              <w:ind w:left="111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</w:rPr>
              <w:t>会议地点</w:t>
            </w:r>
          </w:p>
        </w:tc>
        <w:tc>
          <w:tcPr>
            <w:tcW w:w="6982" w:type="dxa"/>
          </w:tcPr>
          <w:p w14:paraId="008798A3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220" w:lineRule="auto"/>
              <w:ind w:left="111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深圳</w:t>
            </w:r>
          </w:p>
        </w:tc>
      </w:tr>
      <w:tr w14:paraId="0B6F3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  <w:vAlign w:val="center"/>
          </w:tcPr>
          <w:p w14:paraId="6803F09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312" w:lineRule="auto"/>
              <w:ind w:left="114" w:right="107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lang w:val="en-US" w:eastAsia="zh-CN"/>
              </w:rPr>
              <w:t>上市公司参会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lang w:eastAsia="zh-CN"/>
              </w:rPr>
              <w:t>人员姓名</w:t>
            </w:r>
          </w:p>
        </w:tc>
        <w:tc>
          <w:tcPr>
            <w:tcW w:w="6982" w:type="dxa"/>
            <w:tcBorders>
              <w:bottom w:val="single" w:color="auto" w:sz="4" w:space="0"/>
            </w:tcBorders>
          </w:tcPr>
          <w:p w14:paraId="7A32D701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312" w:lineRule="auto"/>
              <w:ind w:left="114" w:right="103" w:firstLine="2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lang w:eastAsia="zh-CN"/>
              </w:rPr>
              <w:t>公司董事长兼总经理李建设先生，董事会秘书王善彬先生，董事兼财务总监李培凯先生</w:t>
            </w:r>
          </w:p>
        </w:tc>
      </w:tr>
      <w:tr w14:paraId="036E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  <w:tcBorders>
              <w:right w:val="single" w:color="auto" w:sz="4" w:space="0"/>
            </w:tcBorders>
          </w:tcPr>
          <w:p w14:paraId="4510D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32040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6086F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354DD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05F96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4CE7F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79C69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52370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245C9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0E0F4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5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7C225D46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78" w:line="363" w:lineRule="auto"/>
              <w:ind w:left="113" w:right="107" w:firstLine="1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7"/>
                <w:lang w:eastAsia="zh-CN"/>
              </w:rPr>
              <w:t>投资者关系活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8"/>
                <w:lang w:eastAsia="zh-CN"/>
              </w:rPr>
              <w:t>动主要内容介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lang w:eastAsia="zh-CN"/>
              </w:rPr>
              <w:t>绍</w:t>
            </w:r>
          </w:p>
        </w:tc>
        <w:tc>
          <w:tcPr>
            <w:tcW w:w="6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4598EE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firstLine="482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周边区域原材料供应能否满足公司生产需求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？</w:t>
            </w:r>
          </w:p>
          <w:p w14:paraId="3405091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leftChars="0" w:firstLine="48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答：公司周边区域的原材料供应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充分满足当前生产需求‌，核心支撑来自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两个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方面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首先是区域优势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‌：公司地处皖苏鲁豫四省交界，本地废纸回收体系成熟，可就近获取稳定的废纸原料，大幅降低原料运输成本，保障基础原料供给。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其次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，依托安徽作为国家级家电生产基地的产业禀赋，</w:t>
            </w:r>
            <w:r>
              <w:rPr>
                <w:rFonts w:ascii="宋体" w:hAnsi="宋体" w:eastAsia="宋体" w:cs="宋体"/>
                <w:sz w:val="24"/>
                <w:szCs w:val="24"/>
              </w:rPr>
              <w:t>区域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包装用纸需求稳定</w:t>
            </w:r>
            <w:r>
              <w:rPr>
                <w:rFonts w:hint="eastAsia" w:ascii="Times New Roman" w:hAnsi="Times New Roman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且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旺盛，周边皖北、豫东、鲁西南</w:t>
            </w:r>
            <w:r>
              <w:rPr>
                <w:rFonts w:hint="eastAsia" w:ascii="Times New Roman" w:hAnsi="Times New Roman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地区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废纸资源丰富</w:t>
            </w:r>
            <w:r>
              <w:rPr>
                <w:rFonts w:hint="eastAsia" w:ascii="Times New Roman" w:hAnsi="Times New Roman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，叠加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优质煤炭</w:t>
            </w:r>
            <w:r>
              <w:rPr>
                <w:rFonts w:hint="eastAsia" w:ascii="Times New Roman" w:hAnsi="Times New Roman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供应，</w:t>
            </w:r>
            <w:r>
              <w:rPr>
                <w:rFonts w:hint="eastAsia" w:ascii="Times New Roman" w:hAnsi="Times New Roman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实现了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近市场、近原料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的双重布局。</w:t>
            </w:r>
          </w:p>
          <w:p w14:paraId="1AB0F7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firstLine="482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公司上游原材料价格持续波动，公司有什么具体的应对举措？</w:t>
            </w:r>
          </w:p>
          <w:p w14:paraId="205013C4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答：针对上游废纸原材料价格波动，公司主要通过以下举措积极应对：（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公司多年来专注于原纸产品的生产经营，已与国内多家废纸原材料供应商建立起长期稳定的合作关系，原材料供应渠道可靠、来源稳定。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（2）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公司长期密切跟踪废纸市场价格走势，对价格变动趋势进行前瞻性预判，并实施科学合理的库存管理策略，灵活拓展采购渠道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。（3）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后续公司也将拓宽多元化采购渠道，合理调控原料库存，平抑采购成本波动。</w:t>
            </w:r>
          </w:p>
          <w:p w14:paraId="4C216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3、2026年上半年包装纸行业的整体景气度如何，公司如何展望造纸行业的发展方向？</w:t>
            </w:r>
          </w:p>
          <w:p w14:paraId="3AA15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2026年上半年，包装纸的景气度持续上行。国家统计局数据显示，2026年1-6月，全国规模以上工业企业实现利润总额39,479.9亿元，同比增长18.7%；其中，造纸和纸制品业实现利润总额196.1亿元，同比上涨27.5%，行业盈利稳步回升，盈利增速显著跑赢规上工业整体。板块景气的主要驱动来自下游出口需求回升、上游原材料供应偏紧。</w:t>
            </w:r>
          </w:p>
          <w:p w14:paraId="68AB7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中长期看，箱板瓦楞纸行业有三条主线：第一，绿色化与循环化，“废纸回收+热电联产”一体化模式将获得成本与合规双重红利；第二，规模化与集中化，行业集中度持续提升，头部企业凭借规模化、一体化优势持续抢占市场份额；第三，高端化与定制化，下游消费升级带动高强度、轻量化、高颜值包装需求增长，对纸机宽幅、车速、稳定性要求进一步提升。公司在三条主线上均具备一定优势。</w:t>
            </w:r>
          </w:p>
          <w:p w14:paraId="51E8F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4、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在市场拓展方面，公司上半年有哪些举措？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ab/>
            </w:r>
          </w:p>
          <w:p w14:paraId="16F61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公司现有客户群体储备充足、客户结构高度分散，市场基础稳固，目前华东核心市场已建立起区域优势；并稳步开拓华中及全国潜力市场，完善网络布局。后续，公司将加强市场调研，密切关注下游行业需求变化，及时调整产品结构，重点布局高需求、高附加值品类；拓展多元化客户群体，降低单一行业需求波动带来的影响。</w:t>
            </w:r>
          </w:p>
          <w:p w14:paraId="113E26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firstLine="482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公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司如何预估下半年的业绩表现？</w:t>
            </w:r>
          </w:p>
          <w:p w14:paraId="10B83F0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 w:firstLine="480" w:firstLineChars="200"/>
              <w:jc w:val="both"/>
              <w:textAlignment w:val="auto"/>
              <w:outlineLvl w:val="1"/>
              <w:rPr>
                <w:rFonts w:hint="default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答：当前公司核心纸种价格保持相对平稳，伴随下半年包装消费传统旺季开启，国内内需复苏叠加海外订单需求拉动，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</w:rPr>
              <w:t>下游整体用纸需求将迎来阶段性提升，公司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下游客户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</w:rPr>
              <w:t>出口业务量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也有望同步增长。综合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来看，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预计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下半年公司业绩较上半年将实现稳步向好。</w:t>
            </w:r>
          </w:p>
        </w:tc>
      </w:tr>
      <w:tr w14:paraId="4D639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</w:tcPr>
          <w:p w14:paraId="498C2C7F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41" w:line="219" w:lineRule="auto"/>
              <w:ind w:left="13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9"/>
              </w:rPr>
              <w:t>附件清单</w:t>
            </w:r>
          </w:p>
          <w:p w14:paraId="2193E59F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7" w:line="199" w:lineRule="auto"/>
              <w:ind w:left="118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</w:rPr>
              <w:t>（如有）</w:t>
            </w:r>
          </w:p>
        </w:tc>
        <w:tc>
          <w:tcPr>
            <w:tcW w:w="6982" w:type="dxa"/>
            <w:tcBorders>
              <w:top w:val="single" w:color="auto" w:sz="4" w:space="0"/>
            </w:tcBorders>
          </w:tcPr>
          <w:p w14:paraId="41DCC44D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20" w:line="220" w:lineRule="auto"/>
              <w:ind w:left="11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无</w:t>
            </w:r>
          </w:p>
        </w:tc>
      </w:tr>
      <w:tr w14:paraId="3CEEB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</w:tcPr>
          <w:p w14:paraId="00F1D62B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21" w:line="220" w:lineRule="auto"/>
              <w:ind w:left="153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28"/>
              </w:rPr>
              <w:t>日期</w:t>
            </w:r>
          </w:p>
        </w:tc>
        <w:tc>
          <w:tcPr>
            <w:tcW w:w="6982" w:type="dxa"/>
          </w:tcPr>
          <w:p w14:paraId="58B1ED70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20" w:line="220" w:lineRule="auto"/>
              <w:ind w:left="112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2026年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lang w:eastAsia="zh-CN"/>
              </w:rPr>
              <w:t>日</w:t>
            </w:r>
          </w:p>
        </w:tc>
      </w:tr>
    </w:tbl>
    <w:p w14:paraId="2CC570E1"/>
    <w:sectPr>
      <w:footerReference r:id="rId3" w:type="default"/>
      <w:pgSz w:w="11906" w:h="16839"/>
      <w:pgMar w:top="1431" w:right="1785" w:bottom="1498" w:left="1481" w:header="0" w:footer="121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C6BD7">
    <w:pPr>
      <w:spacing w:line="270" w:lineRule="exact"/>
      <w:ind w:left="4427"/>
      <w:rPr>
        <w:rFonts w:hint="eastAsia" w:ascii="等线" w:hAnsi="等线" w:eastAsia="等线" w:cs="等线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9B53DD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9B53DD">
                    <w:pPr>
                      <w:pStyle w:val="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C5"/>
    <w:rsid w:val="00025960"/>
    <w:rsid w:val="001A6C7B"/>
    <w:rsid w:val="001C514C"/>
    <w:rsid w:val="002D428C"/>
    <w:rsid w:val="002D707A"/>
    <w:rsid w:val="00772093"/>
    <w:rsid w:val="007B46C5"/>
    <w:rsid w:val="00A275CF"/>
    <w:rsid w:val="00C50B26"/>
    <w:rsid w:val="00DC71C5"/>
    <w:rsid w:val="00DE2538"/>
    <w:rsid w:val="00FA4BFC"/>
    <w:rsid w:val="047555C3"/>
    <w:rsid w:val="055E32F7"/>
    <w:rsid w:val="079D5DAC"/>
    <w:rsid w:val="0E545F51"/>
    <w:rsid w:val="0EA95EDF"/>
    <w:rsid w:val="105674BF"/>
    <w:rsid w:val="118B2BA5"/>
    <w:rsid w:val="138968AD"/>
    <w:rsid w:val="152873EC"/>
    <w:rsid w:val="19A9402C"/>
    <w:rsid w:val="1A8B5DA4"/>
    <w:rsid w:val="206B05C5"/>
    <w:rsid w:val="208B5380"/>
    <w:rsid w:val="20F23941"/>
    <w:rsid w:val="238139F0"/>
    <w:rsid w:val="24167DBE"/>
    <w:rsid w:val="25A62705"/>
    <w:rsid w:val="2B62411C"/>
    <w:rsid w:val="2BB12B3E"/>
    <w:rsid w:val="30676C54"/>
    <w:rsid w:val="36B81CBA"/>
    <w:rsid w:val="3F920E7B"/>
    <w:rsid w:val="441647C1"/>
    <w:rsid w:val="441B65CB"/>
    <w:rsid w:val="444107E5"/>
    <w:rsid w:val="4E676475"/>
    <w:rsid w:val="5474356A"/>
    <w:rsid w:val="56170651"/>
    <w:rsid w:val="58A31865"/>
    <w:rsid w:val="5BBE331C"/>
    <w:rsid w:val="5CB52971"/>
    <w:rsid w:val="5D0D6F52"/>
    <w:rsid w:val="5F762D22"/>
    <w:rsid w:val="60A77801"/>
    <w:rsid w:val="60A972A5"/>
    <w:rsid w:val="61663E8E"/>
    <w:rsid w:val="628D0427"/>
    <w:rsid w:val="6E5025A0"/>
    <w:rsid w:val="6ECF6F30"/>
    <w:rsid w:val="701E78FE"/>
    <w:rsid w:val="7072458D"/>
    <w:rsid w:val="70BF5715"/>
    <w:rsid w:val="73237AF4"/>
    <w:rsid w:val="75E464F0"/>
    <w:rsid w:val="7AFD6C5B"/>
    <w:rsid w:val="7E505D69"/>
    <w:rsid w:val="7F41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宋体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Cs w:val="24"/>
    </w:rPr>
  </w:style>
  <w:style w:type="paragraph" w:styleId="7">
    <w:name w:val="annotation subject"/>
    <w:basedOn w:val="3"/>
    <w:next w:val="3"/>
    <w:link w:val="15"/>
    <w:qFormat/>
    <w:uiPriority w:val="0"/>
    <w:rPr>
      <w:b/>
      <w:bCs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4">
    <w:name w:val="批注文字 字符"/>
    <w:basedOn w:val="9"/>
    <w:link w:val="3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15">
    <w:name w:val="批注主题 字符"/>
    <w:basedOn w:val="14"/>
    <w:link w:val="7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paragraph" w:customStyle="1" w:styleId="16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8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1362</Words>
  <Characters>1410</Characters>
  <Lines>12</Lines>
  <Paragraphs>3</Paragraphs>
  <TotalTime>11</TotalTime>
  <ScaleCrop>false</ScaleCrop>
  <LinksUpToDate>false</LinksUpToDate>
  <CharactersWithSpaces>1494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2026-07-11T13:51:00Z</dcterms:created>
  <dc:creator>雨婷 缪</dc:creator>
  <cp:lastModifiedBy>阚婉婉</cp:lastModifiedBy>
  <dcterms:modified xsi:type="dcterms:W3CDTF">2026-09-10T00:51:49Z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2026-05-18T12:07:42Z</vt:filetime>
  </property>
  <property fmtid="{D5CDD505-2E9C-101B-9397-08002B2CF9AE}" pid="4" name="KSOTemplateDocerSaveRecord">
    <vt:lpwstr>eyJoZGlkIjoiYmU0ZTY0OTA2YmNjOTg2ZGZmM2FhNGQwYmRhOGE5OGIiLCJ1c2VySWQiOiIzOTQzMzA2MDYifQ==</vt:lpwstr>
  </property>
  <property fmtid="{D5CDD505-2E9C-101B-9397-08002B2CF9AE}" pid="5" name="KSOProductBuildVer">
    <vt:lpwstr>2052-12.1.0.28505</vt:lpwstr>
  </property>
  <property fmtid="{D5CDD505-2E9C-101B-9397-08002B2CF9AE}" pid="6" name="ICV">
    <vt:lpwstr>B064ED25ADCE45E3ADCCFE92B2875F6D_13</vt:lpwstr>
  </property>
</Properties>
</file>