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36C6DF">
      <w:pPr>
        <w:spacing w:before="156" w:beforeLines="50" w:after="156" w:afterLines="50" w:line="400" w:lineRule="exact"/>
        <w:jc w:val="center"/>
        <w:rPr>
          <w:bCs/>
          <w:iCs/>
          <w:color w:val="000000"/>
          <w:sz w:val="24"/>
        </w:rPr>
      </w:pPr>
      <w:r>
        <w:rPr>
          <w:rFonts w:hAnsi="宋体"/>
          <w:bCs/>
          <w:iCs/>
          <w:color w:val="000000"/>
          <w:sz w:val="24"/>
        </w:rPr>
        <w:t>证券代码：</w:t>
      </w:r>
      <w:r>
        <w:rPr>
          <w:bCs/>
          <w:iCs/>
          <w:color w:val="000000"/>
          <w:sz w:val="24"/>
        </w:rPr>
        <w:t xml:space="preserve"> </w:t>
      </w:r>
      <w:r>
        <w:rPr>
          <w:color w:val="000000"/>
          <w:sz w:val="24"/>
        </w:rPr>
        <w:t xml:space="preserve">601717                             </w:t>
      </w:r>
      <w:r>
        <w:rPr>
          <w:rFonts w:hAnsi="宋体"/>
          <w:bCs/>
          <w:iCs/>
          <w:color w:val="000000"/>
          <w:sz w:val="24"/>
        </w:rPr>
        <w:t>证券简称：</w:t>
      </w:r>
      <w:r>
        <w:rPr>
          <w:rFonts w:hint="eastAsia"/>
          <w:color w:val="000000"/>
          <w:sz w:val="24"/>
        </w:rPr>
        <w:t>中创智领</w:t>
      </w:r>
    </w:p>
    <w:p w14:paraId="0D24D875">
      <w:pPr>
        <w:spacing w:before="156" w:beforeLines="50" w:after="156" w:afterLines="50" w:line="400" w:lineRule="exact"/>
        <w:jc w:val="center"/>
        <w:rPr>
          <w:rFonts w:hint="eastAsia" w:ascii="黑体" w:hAnsi="黑体" w:eastAsia="黑体"/>
          <w:iCs/>
          <w:color w:val="000000"/>
          <w:sz w:val="32"/>
          <w:szCs w:val="32"/>
        </w:rPr>
      </w:pPr>
      <w:r>
        <w:rPr>
          <w:rFonts w:hint="eastAsia" w:ascii="黑体" w:hAnsi="黑体" w:eastAsia="黑体"/>
          <w:iCs/>
          <w:color w:val="000000"/>
          <w:sz w:val="32"/>
          <w:szCs w:val="32"/>
        </w:rPr>
        <w:t>中创智领（郑州）工业技术集团股份有限公司</w:t>
      </w:r>
    </w:p>
    <w:p w14:paraId="0C784C7B">
      <w:pPr>
        <w:spacing w:before="156" w:beforeLines="50" w:after="156" w:afterLines="50" w:line="400" w:lineRule="exact"/>
        <w:jc w:val="center"/>
        <w:rPr>
          <w:rFonts w:hint="eastAsia" w:ascii="黑体" w:hAnsi="黑体" w:eastAsia="黑体"/>
          <w:iCs/>
          <w:color w:val="000000"/>
          <w:sz w:val="32"/>
          <w:szCs w:val="32"/>
        </w:rPr>
      </w:pPr>
      <w:r>
        <w:rPr>
          <w:rFonts w:hint="eastAsia" w:ascii="黑体" w:hAnsi="黑体" w:eastAsia="黑体"/>
          <w:iCs/>
          <w:color w:val="000000"/>
          <w:sz w:val="32"/>
          <w:szCs w:val="32"/>
        </w:rPr>
        <w:t>投资者关系活动记录表</w:t>
      </w:r>
    </w:p>
    <w:p w14:paraId="7E1ABAB6"/>
    <w:tbl>
      <w:tblPr>
        <w:tblStyle w:val="7"/>
        <w:tblW w:w="87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68"/>
        <w:gridCol w:w="7087"/>
      </w:tblGrid>
      <w:tr w14:paraId="0D205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7" w:hRule="atLeast"/>
        </w:trPr>
        <w:tc>
          <w:tcPr>
            <w:tcW w:w="1668" w:type="dxa"/>
            <w:tcBorders>
              <w:top w:val="single" w:color="auto" w:sz="4" w:space="0"/>
              <w:left w:val="single" w:color="auto" w:sz="4" w:space="0"/>
              <w:bottom w:val="single" w:color="auto" w:sz="4" w:space="0"/>
              <w:right w:val="single" w:color="auto" w:sz="4" w:space="0"/>
            </w:tcBorders>
            <w:vAlign w:val="center"/>
          </w:tcPr>
          <w:p w14:paraId="74281918">
            <w:pPr>
              <w:jc w:val="center"/>
              <w:rPr>
                <w:rFonts w:hint="eastAsia" w:ascii="宋体" w:hAnsi="宋体"/>
                <w:bCs/>
                <w:iCs/>
                <w:color w:val="000000"/>
                <w:szCs w:val="21"/>
              </w:rPr>
            </w:pPr>
            <w:r>
              <w:rPr>
                <w:rFonts w:ascii="宋体" w:hAnsi="宋体"/>
                <w:bCs/>
                <w:iCs/>
                <w:color w:val="000000"/>
                <w:kern w:val="0"/>
                <w:szCs w:val="21"/>
              </w:rPr>
              <w:t>投资者关系</w:t>
            </w:r>
            <w:r>
              <w:rPr>
                <w:rFonts w:ascii="宋体" w:hAnsi="宋体"/>
                <w:bCs/>
                <w:iCs/>
                <w:color w:val="000000"/>
                <w:kern w:val="0"/>
                <w:szCs w:val="21"/>
              </w:rPr>
              <w:br w:type="textWrapping"/>
            </w:r>
            <w:r>
              <w:rPr>
                <w:rFonts w:ascii="宋体" w:hAnsi="宋体"/>
                <w:bCs/>
                <w:iCs/>
                <w:color w:val="000000"/>
                <w:kern w:val="0"/>
                <w:szCs w:val="21"/>
              </w:rPr>
              <w:t>活动类别</w:t>
            </w:r>
          </w:p>
        </w:tc>
        <w:tc>
          <w:tcPr>
            <w:tcW w:w="7087" w:type="dxa"/>
            <w:tcBorders>
              <w:top w:val="single" w:color="auto" w:sz="4" w:space="0"/>
              <w:left w:val="single" w:color="auto" w:sz="4" w:space="0"/>
              <w:bottom w:val="single" w:color="auto" w:sz="4" w:space="0"/>
              <w:right w:val="single" w:color="auto" w:sz="4" w:space="0"/>
            </w:tcBorders>
          </w:tcPr>
          <w:p w14:paraId="41579113">
            <w:pPr>
              <w:rPr>
                <w:rFonts w:hint="eastAsia" w:ascii="宋体" w:hAnsi="宋体"/>
                <w:bCs/>
                <w:iCs/>
                <w:color w:val="000000"/>
                <w:szCs w:val="21"/>
              </w:rPr>
            </w:pPr>
            <w:r>
              <w:rPr>
                <w:rFonts w:ascii="宋体" w:hAnsi="宋体"/>
                <w:bCs/>
                <w:iCs/>
                <w:color w:val="000000"/>
                <w:kern w:val="0"/>
                <w:szCs w:val="21"/>
              </w:rPr>
              <w:t>√</w:t>
            </w:r>
            <w:r>
              <w:rPr>
                <w:rFonts w:hint="eastAsia" w:ascii="宋体" w:hAnsi="宋体"/>
                <w:bCs/>
                <w:iCs/>
                <w:color w:val="000000"/>
                <w:kern w:val="0"/>
                <w:szCs w:val="21"/>
              </w:rPr>
              <w:t xml:space="preserve"> </w:t>
            </w:r>
            <w:r>
              <w:rPr>
                <w:rFonts w:ascii="宋体" w:hAnsi="宋体"/>
                <w:kern w:val="0"/>
                <w:szCs w:val="21"/>
              </w:rPr>
              <w:t xml:space="preserve">特定对象调研    </w:t>
            </w:r>
            <w:r>
              <w:rPr>
                <w:rFonts w:hint="eastAsia" w:ascii="宋体" w:hAnsi="宋体"/>
                <w:kern w:val="0"/>
                <w:szCs w:val="21"/>
              </w:rPr>
              <w:t xml:space="preserve"> </w:t>
            </w:r>
            <w:r>
              <w:rPr>
                <w:rFonts w:ascii="宋体" w:hAnsi="宋体"/>
                <w:kern w:val="0"/>
                <w:szCs w:val="21"/>
              </w:rPr>
              <w:t xml:space="preserve"> </w:t>
            </w:r>
            <w:r>
              <w:rPr>
                <w:rFonts w:hint="eastAsia" w:ascii="宋体" w:hAnsi="宋体"/>
                <w:kern w:val="0"/>
                <w:szCs w:val="21"/>
              </w:rPr>
              <w:t xml:space="preserve"> </w:t>
            </w:r>
            <w:r>
              <w:rPr>
                <w:rFonts w:ascii="宋体" w:hAnsi="宋体"/>
                <w:kern w:val="0"/>
                <w:szCs w:val="21"/>
              </w:rPr>
              <w:t xml:space="preserve"> </w:t>
            </w:r>
            <w:r>
              <w:rPr>
                <w:rFonts w:ascii="宋体" w:hAnsi="宋体"/>
                <w:bCs/>
                <w:iCs/>
                <w:color w:val="000000"/>
                <w:kern w:val="0"/>
                <w:szCs w:val="21"/>
              </w:rPr>
              <w:t>√</w:t>
            </w:r>
            <w:r>
              <w:rPr>
                <w:rFonts w:hint="eastAsia" w:ascii="宋体" w:hAnsi="宋体"/>
                <w:bCs/>
                <w:iCs/>
                <w:color w:val="000000"/>
                <w:kern w:val="0"/>
                <w:szCs w:val="21"/>
              </w:rPr>
              <w:t xml:space="preserve"> </w:t>
            </w:r>
            <w:r>
              <w:rPr>
                <w:rFonts w:ascii="宋体" w:hAnsi="宋体"/>
                <w:kern w:val="0"/>
                <w:szCs w:val="21"/>
              </w:rPr>
              <w:t>分析师会议</w:t>
            </w:r>
          </w:p>
          <w:p w14:paraId="57655A58">
            <w:pPr>
              <w:rPr>
                <w:rFonts w:hint="eastAsia" w:ascii="宋体" w:hAnsi="宋体"/>
                <w:bCs/>
                <w:iCs/>
                <w:color w:val="000000"/>
                <w:kern w:val="0"/>
                <w:szCs w:val="21"/>
              </w:rPr>
            </w:pPr>
            <w:r>
              <w:rPr>
                <w:rFonts w:ascii="宋体" w:hAnsi="宋体"/>
                <w:bCs/>
                <w:iCs/>
                <w:color w:val="000000"/>
                <w:kern w:val="0"/>
                <w:szCs w:val="21"/>
              </w:rPr>
              <w:t>□</w:t>
            </w:r>
            <w:r>
              <w:rPr>
                <w:rFonts w:hint="eastAsia" w:ascii="宋体" w:hAnsi="宋体"/>
                <w:bCs/>
                <w:iCs/>
                <w:color w:val="000000"/>
                <w:kern w:val="0"/>
                <w:szCs w:val="21"/>
              </w:rPr>
              <w:t xml:space="preserve"> </w:t>
            </w:r>
            <w:r>
              <w:rPr>
                <w:rFonts w:ascii="宋体" w:hAnsi="宋体"/>
                <w:kern w:val="0"/>
                <w:szCs w:val="21"/>
              </w:rPr>
              <w:t xml:space="preserve">媒体采访            </w:t>
            </w:r>
            <w:r>
              <w:rPr>
                <w:rFonts w:ascii="宋体" w:hAnsi="宋体"/>
                <w:bCs/>
                <w:iCs/>
                <w:color w:val="000000"/>
                <w:kern w:val="0"/>
                <w:szCs w:val="21"/>
              </w:rPr>
              <w:t>□</w:t>
            </w:r>
            <w:r>
              <w:rPr>
                <w:rFonts w:hint="eastAsia" w:ascii="宋体" w:hAnsi="宋体"/>
                <w:bCs/>
                <w:iCs/>
                <w:color w:val="000000"/>
                <w:kern w:val="0"/>
                <w:szCs w:val="21"/>
              </w:rPr>
              <w:t xml:space="preserve"> </w:t>
            </w:r>
            <w:r>
              <w:rPr>
                <w:rFonts w:ascii="宋体" w:hAnsi="宋体"/>
                <w:kern w:val="0"/>
                <w:szCs w:val="21"/>
              </w:rPr>
              <w:t>业绩说明会</w:t>
            </w:r>
          </w:p>
          <w:p w14:paraId="6647D701">
            <w:pPr>
              <w:rPr>
                <w:rFonts w:hint="eastAsia" w:ascii="宋体" w:hAnsi="宋体"/>
                <w:bCs/>
                <w:iCs/>
                <w:color w:val="000000"/>
                <w:kern w:val="0"/>
                <w:szCs w:val="21"/>
              </w:rPr>
            </w:pPr>
            <w:r>
              <w:rPr>
                <w:rFonts w:ascii="宋体" w:hAnsi="宋体"/>
                <w:bCs/>
                <w:iCs/>
                <w:color w:val="000000"/>
                <w:kern w:val="0"/>
                <w:szCs w:val="21"/>
              </w:rPr>
              <w:t>□</w:t>
            </w:r>
            <w:r>
              <w:rPr>
                <w:rFonts w:hint="eastAsia" w:ascii="宋体" w:hAnsi="宋体"/>
                <w:bCs/>
                <w:iCs/>
                <w:color w:val="000000"/>
                <w:kern w:val="0"/>
                <w:szCs w:val="21"/>
              </w:rPr>
              <w:t xml:space="preserve"> </w:t>
            </w:r>
            <w:r>
              <w:rPr>
                <w:rFonts w:ascii="宋体" w:hAnsi="宋体"/>
                <w:kern w:val="0"/>
                <w:szCs w:val="21"/>
              </w:rPr>
              <w:t xml:space="preserve">新闻发布会          </w:t>
            </w:r>
            <w:r>
              <w:rPr>
                <w:rFonts w:ascii="宋体" w:hAnsi="宋体"/>
                <w:bCs/>
                <w:iCs/>
                <w:color w:val="000000"/>
                <w:kern w:val="0"/>
                <w:szCs w:val="21"/>
              </w:rPr>
              <w:t>□</w:t>
            </w:r>
            <w:r>
              <w:rPr>
                <w:rFonts w:hint="eastAsia" w:ascii="宋体" w:hAnsi="宋体"/>
                <w:bCs/>
                <w:iCs/>
                <w:color w:val="000000"/>
                <w:kern w:val="0"/>
                <w:szCs w:val="21"/>
              </w:rPr>
              <w:t xml:space="preserve"> </w:t>
            </w:r>
            <w:r>
              <w:rPr>
                <w:rFonts w:ascii="宋体" w:hAnsi="宋体"/>
                <w:kern w:val="0"/>
                <w:szCs w:val="21"/>
              </w:rPr>
              <w:t>路演活动</w:t>
            </w:r>
          </w:p>
          <w:p w14:paraId="6D1036EC">
            <w:pPr>
              <w:tabs>
                <w:tab w:val="left" w:pos="3045"/>
                <w:tab w:val="center" w:pos="3199"/>
              </w:tabs>
              <w:rPr>
                <w:rFonts w:hint="eastAsia" w:ascii="宋体" w:hAnsi="宋体"/>
                <w:bCs/>
                <w:iCs/>
                <w:color w:val="000000"/>
                <w:kern w:val="0"/>
                <w:szCs w:val="21"/>
              </w:rPr>
            </w:pPr>
            <w:r>
              <w:rPr>
                <w:rFonts w:ascii="宋体" w:hAnsi="宋体"/>
                <w:bCs/>
                <w:iCs/>
                <w:color w:val="000000"/>
                <w:kern w:val="0"/>
                <w:szCs w:val="21"/>
              </w:rPr>
              <w:t>□</w:t>
            </w:r>
            <w:r>
              <w:rPr>
                <w:rFonts w:hint="eastAsia" w:ascii="宋体" w:hAnsi="宋体"/>
                <w:bCs/>
                <w:iCs/>
                <w:color w:val="000000"/>
                <w:kern w:val="0"/>
                <w:szCs w:val="21"/>
              </w:rPr>
              <w:t xml:space="preserve"> </w:t>
            </w:r>
            <w:r>
              <w:rPr>
                <w:rFonts w:ascii="宋体" w:hAnsi="宋体"/>
                <w:kern w:val="0"/>
                <w:szCs w:val="21"/>
              </w:rPr>
              <w:t>现场参观</w:t>
            </w:r>
          </w:p>
          <w:p w14:paraId="2217FBB7">
            <w:pPr>
              <w:tabs>
                <w:tab w:val="center" w:pos="3199"/>
              </w:tabs>
              <w:rPr>
                <w:rFonts w:hint="eastAsia" w:ascii="宋体" w:hAnsi="宋体"/>
                <w:bCs/>
                <w:iCs/>
                <w:color w:val="000000"/>
                <w:szCs w:val="21"/>
              </w:rPr>
            </w:pPr>
            <w:r>
              <w:rPr>
                <w:rFonts w:ascii="宋体" w:hAnsi="宋体"/>
                <w:bCs/>
                <w:iCs/>
                <w:color w:val="000000"/>
                <w:kern w:val="0"/>
                <w:szCs w:val="21"/>
              </w:rPr>
              <w:t>□</w:t>
            </w:r>
            <w:r>
              <w:rPr>
                <w:rFonts w:hint="eastAsia" w:ascii="宋体" w:hAnsi="宋体"/>
                <w:bCs/>
                <w:iCs/>
                <w:color w:val="000000"/>
                <w:kern w:val="0"/>
                <w:szCs w:val="21"/>
              </w:rPr>
              <w:t xml:space="preserve"> </w:t>
            </w:r>
            <w:r>
              <w:rPr>
                <w:rFonts w:ascii="宋体" w:hAnsi="宋体"/>
                <w:kern w:val="0"/>
                <w:szCs w:val="21"/>
              </w:rPr>
              <w:t>其他</w:t>
            </w:r>
          </w:p>
        </w:tc>
      </w:tr>
      <w:tr w14:paraId="7E640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7" w:hRule="atLeast"/>
        </w:trPr>
        <w:tc>
          <w:tcPr>
            <w:tcW w:w="1668" w:type="dxa"/>
            <w:tcBorders>
              <w:top w:val="single" w:color="auto" w:sz="4" w:space="0"/>
              <w:left w:val="single" w:color="auto" w:sz="4" w:space="0"/>
              <w:bottom w:val="single" w:color="auto" w:sz="4" w:space="0"/>
              <w:right w:val="single" w:color="auto" w:sz="4" w:space="0"/>
            </w:tcBorders>
            <w:vAlign w:val="center"/>
          </w:tcPr>
          <w:p w14:paraId="2CE64EA4">
            <w:pPr>
              <w:jc w:val="center"/>
              <w:rPr>
                <w:bCs/>
                <w:iCs/>
                <w:color w:val="000000"/>
                <w:kern w:val="0"/>
                <w:szCs w:val="21"/>
              </w:rPr>
            </w:pPr>
            <w:r>
              <w:rPr>
                <w:rFonts w:hAnsi="宋体"/>
                <w:bCs/>
                <w:iCs/>
                <w:color w:val="000000"/>
                <w:kern w:val="0"/>
                <w:szCs w:val="21"/>
              </w:rPr>
              <w:t>参与单位名称</w:t>
            </w:r>
          </w:p>
        </w:tc>
        <w:tc>
          <w:tcPr>
            <w:tcW w:w="7087" w:type="dxa"/>
            <w:tcBorders>
              <w:top w:val="single" w:color="auto" w:sz="4" w:space="0"/>
              <w:left w:val="single" w:color="auto" w:sz="4" w:space="0"/>
              <w:bottom w:val="single" w:color="auto" w:sz="4" w:space="0"/>
              <w:right w:val="single" w:color="auto" w:sz="4" w:space="0"/>
            </w:tcBorders>
            <w:vAlign w:val="center"/>
          </w:tcPr>
          <w:p w14:paraId="1BCDD712">
            <w:pPr>
              <w:rPr>
                <w:bCs/>
                <w:iCs/>
                <w:color w:val="000000"/>
                <w:szCs w:val="21"/>
              </w:rPr>
            </w:pPr>
            <w:r>
              <w:rPr>
                <w:bCs/>
                <w:iCs/>
                <w:color w:val="000000"/>
                <w:szCs w:val="21"/>
              </w:rPr>
              <w:t>广发证券、华安证券、东方证券、中金公司、申万宏源、中信证券、国金证券、中信建投、东吴证券、西南证券、光大证券、国投证券、招商证券、德邦证券、西部证券、开源证券、国海证券、浙商证券、华泰证券、中泰证券、银河证券、信达证券、长江证券、国泰海通证券</w:t>
            </w:r>
            <w:r>
              <w:rPr>
                <w:rFonts w:hint="eastAsia"/>
                <w:bCs/>
                <w:iCs/>
                <w:color w:val="000000"/>
                <w:szCs w:val="21"/>
              </w:rPr>
              <w:t>、美银证券、Goldman Sachs Asset Management、HSBC Asset Management、永赢基金、交银施罗德基金、汇丰晋信基金、新华基金、南方基金、华宝基金、嘉实基金、中银基金、银河基金、银华基金、平安基金、创金合信基金、泰信基金、建信理财、华夏理财、平安资产、Principal Financial Group、泽铭投资、鸿运私募、国晖投资、八零后资产、曼林基金、</w:t>
            </w:r>
            <w:r>
              <w:rPr>
                <w:rFonts w:ascii="Segoe UI" w:hAnsi="Segoe UI" w:eastAsia="Segoe UI" w:cs="Segoe UI"/>
                <w:color w:val="0F1115"/>
                <w:sz w:val="24"/>
                <w:shd w:val="clear" w:color="auto" w:fill="FFFFFF"/>
              </w:rPr>
              <w:t>尚诚资产、</w:t>
            </w:r>
            <w:r>
              <w:rPr>
                <w:rFonts w:hint="eastAsia"/>
                <w:bCs/>
                <w:iCs/>
                <w:color w:val="000000"/>
                <w:szCs w:val="21"/>
              </w:rPr>
              <w:t>金之源基金、互泰投资、GIC狮城产业投资、洲和资本（Harmoandscapital）、NF Trinity Capital、中国东方资产、BlueCrest Capital Management、Willing Capital Management、WT Asset Management、Vision Point Asset Management、Matthews Asia、BEA Union、FengHe Fund、CI Financial、Fullerton Fund Management、Value Partners等。</w:t>
            </w:r>
          </w:p>
          <w:p w14:paraId="1A63B6AF">
            <w:pPr>
              <w:rPr>
                <w:bCs/>
                <w:iCs/>
                <w:color w:val="000000"/>
                <w:szCs w:val="21"/>
              </w:rPr>
            </w:pPr>
            <w:r>
              <w:rPr>
                <w:rFonts w:hint="eastAsia"/>
                <w:bCs/>
                <w:iCs/>
                <w:color w:val="000000"/>
                <w:szCs w:val="21"/>
              </w:rPr>
              <w:t>（排名不分先后）</w:t>
            </w:r>
          </w:p>
        </w:tc>
      </w:tr>
      <w:tr w14:paraId="137AC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668" w:type="dxa"/>
            <w:tcBorders>
              <w:top w:val="single" w:color="auto" w:sz="4" w:space="0"/>
              <w:left w:val="single" w:color="auto" w:sz="4" w:space="0"/>
              <w:bottom w:val="single" w:color="auto" w:sz="4" w:space="0"/>
              <w:right w:val="single" w:color="auto" w:sz="4" w:space="0"/>
            </w:tcBorders>
            <w:vAlign w:val="center"/>
          </w:tcPr>
          <w:p w14:paraId="5E81A979">
            <w:pPr>
              <w:jc w:val="center"/>
              <w:rPr>
                <w:bCs/>
                <w:iCs/>
                <w:color w:val="000000"/>
                <w:kern w:val="0"/>
                <w:szCs w:val="21"/>
              </w:rPr>
            </w:pPr>
            <w:r>
              <w:rPr>
                <w:rFonts w:hAnsi="宋体"/>
                <w:bCs/>
                <w:iCs/>
                <w:color w:val="000000"/>
                <w:kern w:val="0"/>
                <w:szCs w:val="21"/>
              </w:rPr>
              <w:t>时间</w:t>
            </w:r>
          </w:p>
        </w:tc>
        <w:tc>
          <w:tcPr>
            <w:tcW w:w="7087" w:type="dxa"/>
            <w:tcBorders>
              <w:top w:val="single" w:color="auto" w:sz="4" w:space="0"/>
              <w:left w:val="single" w:color="auto" w:sz="4" w:space="0"/>
              <w:bottom w:val="single" w:color="auto" w:sz="4" w:space="0"/>
              <w:right w:val="single" w:color="auto" w:sz="4" w:space="0"/>
            </w:tcBorders>
            <w:vAlign w:val="center"/>
          </w:tcPr>
          <w:p w14:paraId="2F4F624C">
            <w:pPr>
              <w:rPr>
                <w:bCs/>
                <w:iCs/>
                <w:color w:val="000000"/>
                <w:szCs w:val="21"/>
              </w:rPr>
            </w:pPr>
            <w:r>
              <w:rPr>
                <w:bCs/>
                <w:iCs/>
                <w:color w:val="000000"/>
                <w:szCs w:val="21"/>
              </w:rPr>
              <w:t>202</w:t>
            </w:r>
            <w:r>
              <w:rPr>
                <w:rFonts w:hint="eastAsia"/>
                <w:bCs/>
                <w:iCs/>
                <w:color w:val="000000"/>
                <w:szCs w:val="21"/>
              </w:rPr>
              <w:t>6</w:t>
            </w:r>
            <w:r>
              <w:rPr>
                <w:bCs/>
                <w:iCs/>
                <w:color w:val="000000"/>
                <w:szCs w:val="21"/>
              </w:rPr>
              <w:t>年</w:t>
            </w:r>
            <w:r>
              <w:rPr>
                <w:rFonts w:hint="eastAsia"/>
                <w:bCs/>
                <w:iCs/>
                <w:color w:val="000000"/>
                <w:szCs w:val="21"/>
              </w:rPr>
              <w:t>8</w:t>
            </w:r>
            <w:r>
              <w:rPr>
                <w:bCs/>
                <w:iCs/>
                <w:color w:val="000000"/>
                <w:szCs w:val="21"/>
              </w:rPr>
              <w:t>月</w:t>
            </w:r>
            <w:r>
              <w:rPr>
                <w:rFonts w:hint="eastAsia"/>
                <w:bCs/>
                <w:iCs/>
                <w:color w:val="000000"/>
                <w:szCs w:val="21"/>
              </w:rPr>
              <w:t>31日~9月</w:t>
            </w:r>
            <w:r>
              <w:rPr>
                <w:rFonts w:hint="eastAsia"/>
                <w:bCs/>
                <w:iCs/>
                <w:color w:val="000000"/>
                <w:szCs w:val="21"/>
                <w:lang w:val="en-US" w:eastAsia="zh-CN"/>
              </w:rPr>
              <w:t>7</w:t>
            </w:r>
            <w:r>
              <w:rPr>
                <w:rFonts w:hint="eastAsia"/>
                <w:bCs/>
                <w:iCs/>
                <w:color w:val="000000"/>
                <w:szCs w:val="21"/>
              </w:rPr>
              <w:t>日</w:t>
            </w:r>
          </w:p>
        </w:tc>
      </w:tr>
      <w:tr w14:paraId="54253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668" w:type="dxa"/>
            <w:tcBorders>
              <w:top w:val="single" w:color="auto" w:sz="4" w:space="0"/>
              <w:left w:val="single" w:color="auto" w:sz="4" w:space="0"/>
              <w:bottom w:val="single" w:color="auto" w:sz="4" w:space="0"/>
              <w:right w:val="single" w:color="auto" w:sz="4" w:space="0"/>
            </w:tcBorders>
            <w:vAlign w:val="center"/>
          </w:tcPr>
          <w:p w14:paraId="67526EDB">
            <w:pPr>
              <w:jc w:val="center"/>
              <w:rPr>
                <w:bCs/>
                <w:iCs/>
                <w:color w:val="000000"/>
                <w:kern w:val="0"/>
                <w:szCs w:val="21"/>
              </w:rPr>
            </w:pPr>
            <w:r>
              <w:rPr>
                <w:rFonts w:hint="eastAsia" w:hAnsi="宋体"/>
                <w:bCs/>
                <w:iCs/>
                <w:color w:val="000000"/>
                <w:kern w:val="0"/>
                <w:szCs w:val="21"/>
              </w:rPr>
              <w:t>地点/方式</w:t>
            </w:r>
          </w:p>
        </w:tc>
        <w:tc>
          <w:tcPr>
            <w:tcW w:w="7087" w:type="dxa"/>
            <w:tcBorders>
              <w:top w:val="single" w:color="auto" w:sz="4" w:space="0"/>
              <w:left w:val="single" w:color="auto" w:sz="4" w:space="0"/>
              <w:bottom w:val="single" w:color="auto" w:sz="4" w:space="0"/>
              <w:right w:val="single" w:color="auto" w:sz="4" w:space="0"/>
            </w:tcBorders>
            <w:vAlign w:val="center"/>
          </w:tcPr>
          <w:p w14:paraId="6073C3A3">
            <w:pPr>
              <w:rPr>
                <w:bCs/>
                <w:iCs/>
                <w:color w:val="000000"/>
                <w:szCs w:val="21"/>
                <w:lang w:val="en-GB"/>
              </w:rPr>
            </w:pPr>
            <w:r>
              <w:rPr>
                <w:rFonts w:hint="eastAsia"/>
                <w:bCs/>
                <w:iCs/>
                <w:color w:val="000000"/>
                <w:szCs w:val="21"/>
                <w:lang w:val="en-GB"/>
              </w:rPr>
              <w:t>线上电话会议</w:t>
            </w:r>
          </w:p>
        </w:tc>
      </w:tr>
      <w:tr w14:paraId="6AD0B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2" w:hRule="atLeast"/>
        </w:trPr>
        <w:tc>
          <w:tcPr>
            <w:tcW w:w="1668" w:type="dxa"/>
            <w:tcBorders>
              <w:top w:val="single" w:color="auto" w:sz="4" w:space="0"/>
              <w:left w:val="single" w:color="auto" w:sz="4" w:space="0"/>
              <w:bottom w:val="single" w:color="auto" w:sz="4" w:space="0"/>
              <w:right w:val="single" w:color="auto" w:sz="4" w:space="0"/>
            </w:tcBorders>
            <w:vAlign w:val="center"/>
          </w:tcPr>
          <w:p w14:paraId="33939BFE">
            <w:pPr>
              <w:jc w:val="center"/>
              <w:rPr>
                <w:bCs/>
                <w:iCs/>
                <w:color w:val="000000"/>
                <w:kern w:val="0"/>
                <w:szCs w:val="21"/>
              </w:rPr>
            </w:pPr>
            <w:r>
              <w:rPr>
                <w:rFonts w:hAnsi="宋体"/>
                <w:bCs/>
                <w:iCs/>
                <w:color w:val="000000"/>
                <w:kern w:val="0"/>
                <w:szCs w:val="21"/>
              </w:rPr>
              <w:t>上市公司接待人员</w:t>
            </w:r>
          </w:p>
        </w:tc>
        <w:tc>
          <w:tcPr>
            <w:tcW w:w="7087" w:type="dxa"/>
            <w:tcBorders>
              <w:top w:val="single" w:color="auto" w:sz="4" w:space="0"/>
              <w:left w:val="single" w:color="auto" w:sz="4" w:space="0"/>
              <w:bottom w:val="single" w:color="auto" w:sz="4" w:space="0"/>
              <w:right w:val="single" w:color="auto" w:sz="4" w:space="0"/>
            </w:tcBorders>
            <w:vAlign w:val="center"/>
          </w:tcPr>
          <w:p w14:paraId="298B949B">
            <w:pPr>
              <w:rPr>
                <w:rFonts w:hint="eastAsia" w:ascii="宋体" w:hAnsi="宋体"/>
                <w:bCs/>
                <w:szCs w:val="21"/>
              </w:rPr>
            </w:pPr>
            <w:r>
              <w:rPr>
                <w:rFonts w:hint="eastAsia" w:ascii="宋体" w:hAnsi="宋体" w:cs="宋体"/>
                <w:szCs w:val="21"/>
              </w:rPr>
              <w:t>总经理贾浩，董事会秘书张易辰，财务总监邱泉，</w:t>
            </w:r>
            <w:r>
              <w:rPr>
                <w:rFonts w:hint="eastAsia" w:ascii="宋体" w:hAnsi="宋体" w:cs="宋体"/>
                <w:szCs w:val="21"/>
                <w:lang w:val="en-US" w:eastAsia="zh-CN"/>
              </w:rPr>
              <w:t>工业智能板块</w:t>
            </w:r>
            <w:r>
              <w:rPr>
                <w:rFonts w:hint="eastAsia" w:ascii="宋体" w:hAnsi="宋体" w:cs="宋体"/>
                <w:szCs w:val="21"/>
              </w:rPr>
              <w:t>董事长罗开成</w:t>
            </w:r>
          </w:p>
        </w:tc>
      </w:tr>
      <w:tr w14:paraId="6C7B1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7" w:hRule="atLeast"/>
        </w:trPr>
        <w:tc>
          <w:tcPr>
            <w:tcW w:w="1668" w:type="dxa"/>
            <w:tcBorders>
              <w:top w:val="single" w:color="auto" w:sz="4" w:space="0"/>
              <w:left w:val="single" w:color="auto" w:sz="4" w:space="0"/>
              <w:bottom w:val="single" w:color="auto" w:sz="4" w:space="0"/>
              <w:right w:val="single" w:color="auto" w:sz="4" w:space="0"/>
            </w:tcBorders>
            <w:vAlign w:val="center"/>
          </w:tcPr>
          <w:p w14:paraId="7A3696C7">
            <w:pPr>
              <w:jc w:val="center"/>
              <w:rPr>
                <w:bCs/>
                <w:iCs/>
                <w:color w:val="000000"/>
                <w:szCs w:val="21"/>
              </w:rPr>
            </w:pPr>
            <w:r>
              <w:rPr>
                <w:rFonts w:hAnsi="宋体"/>
                <w:bCs/>
                <w:iCs/>
                <w:color w:val="000000"/>
                <w:kern w:val="0"/>
                <w:szCs w:val="21"/>
              </w:rPr>
              <w:t>投资者关系活动主要内容介绍</w:t>
            </w:r>
          </w:p>
        </w:tc>
        <w:tc>
          <w:tcPr>
            <w:tcW w:w="7087" w:type="dxa"/>
            <w:tcBorders>
              <w:top w:val="single" w:color="auto" w:sz="4" w:space="0"/>
              <w:left w:val="single" w:color="auto" w:sz="4" w:space="0"/>
              <w:bottom w:val="single" w:color="auto" w:sz="4" w:space="0"/>
              <w:right w:val="single" w:color="auto" w:sz="4" w:space="0"/>
            </w:tcBorders>
            <w:vAlign w:val="center"/>
          </w:tcPr>
          <w:p w14:paraId="51E8ED40">
            <w:pPr>
              <w:spacing w:line="276" w:lineRule="auto"/>
              <w:ind w:firstLine="421"/>
              <w:rPr>
                <w:rFonts w:hint="eastAsia" w:ascii="宋体" w:hAnsi="宋体"/>
                <w:b/>
                <w:iCs/>
                <w:color w:val="000000"/>
                <w:szCs w:val="21"/>
              </w:rPr>
            </w:pPr>
            <w:r>
              <w:rPr>
                <w:rFonts w:hint="eastAsia" w:ascii="宋体" w:hAnsi="宋体"/>
                <w:b/>
                <w:iCs/>
                <w:color w:val="000000"/>
                <w:szCs w:val="21"/>
              </w:rPr>
              <w:t>1、介绍公司2026年上半年度经营情况</w:t>
            </w:r>
            <w:bookmarkStart w:id="0" w:name="_GoBack"/>
            <w:bookmarkEnd w:id="0"/>
          </w:p>
          <w:p w14:paraId="0767A377">
            <w:pPr>
              <w:spacing w:line="276" w:lineRule="auto"/>
              <w:ind w:firstLine="421"/>
              <w:rPr>
                <w:rFonts w:hint="eastAsia" w:ascii="宋体" w:hAnsi="宋体"/>
                <w:bCs/>
                <w:iCs/>
                <w:color w:val="000000"/>
                <w:szCs w:val="21"/>
              </w:rPr>
            </w:pPr>
            <w:r>
              <w:rPr>
                <w:rFonts w:hint="eastAsia" w:ascii="宋体" w:hAnsi="宋体"/>
                <w:bCs/>
                <w:iCs/>
                <w:color w:val="000000"/>
                <w:szCs w:val="21"/>
              </w:rPr>
              <w:t>答：2026年上半年，公司实现营业收入约187.7亿元，归母净利润16.0亿元，毛利率19.81%；受煤机行业周期下行影响，收入与利润短期承压，但汽车零部件业务稳健增长、新兴业务蓄势，整体经营基本盘扎实。</w:t>
            </w:r>
          </w:p>
          <w:p w14:paraId="62DC15A0">
            <w:pPr>
              <w:spacing w:line="276" w:lineRule="auto"/>
              <w:ind w:firstLine="421"/>
              <w:rPr>
                <w:rFonts w:hint="eastAsia" w:ascii="宋体" w:hAnsi="宋体"/>
                <w:bCs/>
                <w:iCs/>
                <w:color w:val="000000"/>
                <w:szCs w:val="21"/>
              </w:rPr>
            </w:pPr>
            <w:r>
              <w:rPr>
                <w:rFonts w:hint="eastAsia" w:ascii="宋体" w:hAnsi="宋体"/>
                <w:bCs/>
                <w:iCs/>
                <w:color w:val="000000"/>
                <w:szCs w:val="21"/>
              </w:rPr>
              <w:t>受煤炭行业投资周期及项目建设节奏影响，煤机设备市场需求有所波动，煤机板块实现收入72.3亿元，较去年同期下降20.3%，板块收入与利润同比有所下降，但销售回款保持增长。成套化方面，智能成套一体化解决方案持续完善，成套订货比重提升；国际化方面，海外市场中标额超10亿元，同比增长超50%，澳大利亚、哈萨克斯坦、美国等重点市场取得项目订单；新产品方面，矿用机器人订货同比增长60%，掘锚一体机取得首台套订单。智慧园区二期智能装配线提前达产。</w:t>
            </w:r>
          </w:p>
          <w:p w14:paraId="5E489D75">
            <w:pPr>
              <w:spacing w:line="276" w:lineRule="auto"/>
              <w:ind w:firstLine="421"/>
              <w:rPr>
                <w:rFonts w:ascii="宋体" w:hAnsi="宋体"/>
                <w:bCs/>
                <w:iCs/>
                <w:color w:val="000000"/>
                <w:szCs w:val="21"/>
              </w:rPr>
            </w:pPr>
            <w:r>
              <w:rPr>
                <w:rFonts w:hint="eastAsia" w:ascii="宋体" w:hAnsi="宋体"/>
                <w:bCs/>
                <w:iCs/>
                <w:color w:val="000000"/>
                <w:szCs w:val="21"/>
              </w:rPr>
              <w:t>工业智能板块本报告期实现收入15.7亿元，较去年同期下降2.1%，在煤矿企业整体投资需求收紧的环境下，公司的煤矿综采液压控制系统、智能开采系统等煤矿智能化产品的销售收入有所下滑，但公司近几年着重发展的智慧矿山、智能供液系统等煤矿智能化相关的新业务收入较去年同期有较大增长，与智能工厂相关的智能产线改造、智能仓储物流等智能制造业务处于获取市场认可阶段、业务增长较快，煤矿智能化新业务和智能制造业务的增长有效对冲了传统智能化业务市场需求下滑对收入带来的影响。</w:t>
            </w:r>
          </w:p>
          <w:p w14:paraId="7997CC56">
            <w:pPr>
              <w:spacing w:line="276" w:lineRule="auto"/>
              <w:ind w:firstLine="421"/>
              <w:rPr>
                <w:rFonts w:hint="eastAsia" w:ascii="宋体" w:hAnsi="宋体"/>
                <w:bCs/>
                <w:iCs/>
                <w:color w:val="000000"/>
                <w:szCs w:val="21"/>
              </w:rPr>
            </w:pPr>
            <w:r>
              <w:rPr>
                <w:rFonts w:hint="eastAsia" w:ascii="宋体" w:hAnsi="宋体"/>
                <w:bCs/>
                <w:iCs/>
                <w:color w:val="000000"/>
                <w:szCs w:val="21"/>
              </w:rPr>
              <w:t>汽车零部件板块本报告期实现收入105.43亿元，较去年同期增长7.2%。国内汽车市场结构持续分化，新能源汽车渗透率提升，零部件行业竞争加剧，公司零部件板块总体保持平稳。亚新科优化组织架构，存货周转加快，经营活动现金流改善。空气供给单元实现批量配套，智能中央气源单元取得项目定点，热管理、粉末冶金新工厂启动建设。索恩格加强成本管控和供应商管理，经营业绩改善，营收同比增长11%，净利润同比增长176%。基于电机能力切入具身智能领域，关节模组电机完成验证并量产供货。索恩格电动驱动电机业务保持较快增长，营收同比增长62%，量产交付规模持续提升。全主动悬架电液泵平台完成整车测试，800V双平台产品下线，商用车电机取得国际客户量产定点。</w:t>
            </w:r>
          </w:p>
          <w:p w14:paraId="3943A000">
            <w:pPr>
              <w:spacing w:line="276" w:lineRule="auto"/>
              <w:ind w:firstLine="421"/>
              <w:rPr>
                <w:rFonts w:hint="eastAsia" w:ascii="宋体" w:hAnsi="宋体"/>
                <w:bCs/>
                <w:iCs/>
                <w:color w:val="000000"/>
                <w:szCs w:val="21"/>
              </w:rPr>
            </w:pPr>
          </w:p>
          <w:p w14:paraId="1B4D5A8C">
            <w:pPr>
              <w:spacing w:line="276" w:lineRule="auto"/>
              <w:ind w:firstLine="421"/>
              <w:rPr>
                <w:rFonts w:hint="eastAsia" w:ascii="宋体" w:hAnsi="宋体" w:cs="宋体"/>
                <w:b/>
                <w:bCs/>
                <w:color w:val="000000"/>
                <w:sz w:val="20"/>
                <w:szCs w:val="20"/>
                <w:shd w:val="clear" w:color="auto" w:fill="FFFFFF"/>
              </w:rPr>
            </w:pPr>
            <w:r>
              <w:rPr>
                <w:rFonts w:hint="eastAsia" w:ascii="宋体" w:hAnsi="宋体" w:cs="宋体"/>
                <w:b/>
                <w:bCs/>
                <w:color w:val="000000"/>
                <w:sz w:val="20"/>
                <w:szCs w:val="20"/>
                <w:shd w:val="clear" w:color="auto" w:fill="FFFFFF"/>
              </w:rPr>
              <w:t>2、煤机板块上半年经营情况及全年展望</w:t>
            </w:r>
          </w:p>
          <w:p w14:paraId="218C2974">
            <w:pPr>
              <w:spacing w:line="276" w:lineRule="auto"/>
              <w:ind w:firstLine="421"/>
              <w:rPr>
                <w:rFonts w:hint="eastAsia" w:ascii="宋体" w:hAnsi="宋体"/>
                <w:bCs/>
                <w:iCs/>
                <w:color w:val="000000"/>
                <w:szCs w:val="21"/>
              </w:rPr>
            </w:pPr>
            <w:r>
              <w:rPr>
                <w:rFonts w:hint="eastAsia" w:ascii="宋体" w:hAnsi="宋体"/>
                <w:bCs/>
                <w:iCs/>
                <w:color w:val="000000"/>
                <w:szCs w:val="21"/>
              </w:rPr>
              <w:t>答：2026年上半年，受煤炭行业投资周期及项目建设节奏影响，煤机设备市场需求有所波动，板块收入与利润同比下降，但销售回款保持增长。公司持续完善智能成套一体化解决方案，成套订货比重提升，海外市场中标额超10亿元，矿用机器人等新产品取得订单。下半年行业招投标节奏通常优于上半年，当前产品价格处于低位，部分中小厂商经营承压，公司坚持稳健经营，不参与恶意低价竞争。中长期看，煤炭行业智能化升级需求仍具支撑，公司将围绕成套化、智能化、国际化巩固竞争优势。</w:t>
            </w:r>
          </w:p>
          <w:p w14:paraId="1E19A279">
            <w:pPr>
              <w:spacing w:line="276" w:lineRule="auto"/>
              <w:ind w:firstLine="421"/>
              <w:rPr>
                <w:rFonts w:hint="eastAsia" w:ascii="宋体" w:hAnsi="宋体"/>
                <w:bCs/>
                <w:iCs/>
                <w:color w:val="000000"/>
                <w:szCs w:val="21"/>
              </w:rPr>
            </w:pPr>
          </w:p>
          <w:p w14:paraId="5970DDC1">
            <w:pPr>
              <w:spacing w:line="276" w:lineRule="auto"/>
              <w:ind w:firstLine="421"/>
              <w:rPr>
                <w:rFonts w:hint="eastAsia" w:ascii="宋体" w:hAnsi="宋体"/>
                <w:b/>
                <w:iCs/>
                <w:color w:val="000000"/>
                <w:szCs w:val="21"/>
              </w:rPr>
            </w:pPr>
            <w:r>
              <w:rPr>
                <w:rFonts w:hint="eastAsia" w:ascii="宋体" w:hAnsi="宋体"/>
                <w:b/>
                <w:iCs/>
                <w:color w:val="000000"/>
                <w:szCs w:val="21"/>
              </w:rPr>
              <w:t>3、</w:t>
            </w:r>
            <w:r>
              <w:rPr>
                <w:rFonts w:hint="eastAsia" w:ascii="宋体" w:hAnsi="宋体" w:cs="宋体"/>
                <w:b/>
                <w:color w:val="000000"/>
                <w:sz w:val="20"/>
                <w:szCs w:val="20"/>
                <w:shd w:val="clear" w:color="auto" w:fill="FFFFFF"/>
              </w:rPr>
              <w:t>煤机行业当前处于周期什么位置？价格是否见底？</w:t>
            </w:r>
          </w:p>
          <w:p w14:paraId="0E80C281">
            <w:pPr>
              <w:spacing w:line="276" w:lineRule="auto"/>
              <w:ind w:firstLine="420" w:firstLineChars="200"/>
              <w:rPr>
                <w:rFonts w:hint="eastAsia" w:ascii="宋体" w:hAnsi="宋体"/>
                <w:bCs/>
                <w:iCs/>
                <w:color w:val="000000"/>
                <w:szCs w:val="21"/>
              </w:rPr>
            </w:pPr>
            <w:r>
              <w:rPr>
                <w:rFonts w:hint="eastAsia" w:ascii="宋体" w:hAnsi="宋体"/>
                <w:bCs/>
                <w:iCs/>
                <w:color w:val="000000"/>
                <w:szCs w:val="21"/>
              </w:rPr>
              <w:t>答：2026年上半年，受煤炭行业投资周期及项目建设节奏影响，煤机设备市场需求有所波动，板块收入与利润同比下降，但销售回款保持增长。当前产品价格已处于低位，进一步下行空间有限，部分中小厂商经营承压，行业分化加剧。从中长期看，煤炭作为基础能源的地位未发生根本变化，但下游煤炭行业集中度持续提升，行业政策环境趋严，智能化升级方向明确，十五五末智能化产能占比目标</w:t>
            </w:r>
            <w:r>
              <w:rPr>
                <w:rFonts w:hint="eastAsia" w:ascii="宋体" w:hAnsi="宋体"/>
                <w:bCs/>
                <w:iCs/>
                <w:color w:val="000000"/>
                <w:szCs w:val="21"/>
                <w:lang w:val="en-US" w:eastAsia="zh-CN"/>
              </w:rPr>
              <w:t>75</w:t>
            </w:r>
            <w:r>
              <w:rPr>
                <w:rFonts w:hint="eastAsia" w:ascii="宋体" w:hAnsi="宋体"/>
                <w:bCs/>
                <w:iCs/>
                <w:color w:val="000000"/>
                <w:szCs w:val="21"/>
              </w:rPr>
              <w:t>%以上，煤机设备向成套化、实质性自动化方向转型已成为行业共识。公司坚持稳健经营，不参与恶意低价竞争，争取有利润、有现金流的业务，持续围绕成套化、智能化、国际化巩固竞争优势。</w:t>
            </w:r>
          </w:p>
          <w:p w14:paraId="3ABBA7EA">
            <w:pPr>
              <w:spacing w:line="276" w:lineRule="auto"/>
              <w:ind w:firstLine="420" w:firstLineChars="200"/>
              <w:rPr>
                <w:rFonts w:hint="eastAsia" w:ascii="宋体" w:hAnsi="宋体"/>
                <w:bCs/>
                <w:iCs/>
                <w:color w:val="000000"/>
                <w:szCs w:val="21"/>
              </w:rPr>
            </w:pPr>
          </w:p>
          <w:p w14:paraId="054D475B">
            <w:pPr>
              <w:spacing w:line="276" w:lineRule="auto"/>
              <w:ind w:firstLine="402" w:firstLineChars="200"/>
              <w:rPr>
                <w:rFonts w:hint="eastAsia" w:ascii="宋体" w:hAnsi="宋体" w:cs="宋体"/>
                <w:b/>
                <w:bCs/>
                <w:color w:val="000000"/>
                <w:sz w:val="20"/>
                <w:szCs w:val="20"/>
                <w:shd w:val="clear" w:color="auto" w:fill="FFFFFF"/>
              </w:rPr>
            </w:pPr>
            <w:r>
              <w:rPr>
                <w:rFonts w:hint="eastAsia" w:ascii="宋体" w:hAnsi="宋体" w:cs="宋体"/>
                <w:b/>
                <w:bCs/>
                <w:color w:val="000000"/>
                <w:sz w:val="20"/>
                <w:szCs w:val="20"/>
                <w:shd w:val="clear" w:color="auto" w:fill="FFFFFF"/>
              </w:rPr>
              <w:t>4、索恩格上半年业绩改善的原因及后续发展规划？</w:t>
            </w:r>
          </w:p>
          <w:p w14:paraId="54BFA7E9">
            <w:pPr>
              <w:spacing w:line="276" w:lineRule="auto"/>
              <w:ind w:firstLine="420" w:firstLineChars="200"/>
              <w:rPr>
                <w:rFonts w:hint="eastAsia" w:ascii="宋体" w:hAnsi="宋体"/>
                <w:bCs/>
                <w:iCs/>
                <w:color w:val="000000"/>
                <w:szCs w:val="21"/>
              </w:rPr>
            </w:pPr>
            <w:r>
              <w:rPr>
                <w:rFonts w:hint="eastAsia" w:ascii="宋体" w:hAnsi="宋体"/>
                <w:bCs/>
                <w:iCs/>
                <w:color w:val="000000"/>
                <w:szCs w:val="21"/>
              </w:rPr>
              <w:t>答：2026年上半年，索恩格营业收入同比增长11%，净利润3亿元，主要受益于48V系统产品量产上量、控制芯片自研自制及全球采购优化等因素，经营业绩明显改善。报告期内，欧洲、北美等重点市场新项目获取按计划推进，起发电机业务保持稳定，新能源电驱业务持续拓展。同时，公司基于电机能力切入具身智能领域，关节模组电机已完成验证并进入客户供应链，首条生产线已建成，实现首个项目量产供货。</w:t>
            </w:r>
          </w:p>
          <w:p w14:paraId="69116DD1">
            <w:pPr>
              <w:spacing w:line="276" w:lineRule="auto"/>
              <w:rPr>
                <w:rFonts w:hint="eastAsia" w:ascii="宋体" w:hAnsi="宋体"/>
                <w:bCs/>
                <w:iCs/>
                <w:color w:val="000000"/>
                <w:szCs w:val="21"/>
              </w:rPr>
            </w:pPr>
          </w:p>
          <w:p w14:paraId="0E497B30">
            <w:pPr>
              <w:spacing w:line="276" w:lineRule="auto"/>
              <w:ind w:firstLine="421"/>
              <w:rPr>
                <w:rFonts w:hint="eastAsia" w:ascii="宋体" w:hAnsi="宋体"/>
                <w:b/>
                <w:iCs/>
                <w:color w:val="000000"/>
                <w:szCs w:val="21"/>
              </w:rPr>
            </w:pPr>
            <w:r>
              <w:rPr>
                <w:rFonts w:hint="eastAsia" w:ascii="宋体" w:hAnsi="宋体"/>
                <w:b/>
                <w:iCs/>
                <w:color w:val="000000"/>
                <w:szCs w:val="21"/>
              </w:rPr>
              <w:t>5、索恩格电动上半年经营情况如何？</w:t>
            </w:r>
          </w:p>
          <w:p w14:paraId="34AE8398">
            <w:pPr>
              <w:spacing w:line="276" w:lineRule="auto"/>
              <w:ind w:firstLine="421"/>
              <w:rPr>
                <w:rFonts w:hint="eastAsia" w:ascii="宋体" w:hAnsi="宋体"/>
                <w:bCs/>
                <w:iCs/>
                <w:color w:val="000000"/>
                <w:szCs w:val="21"/>
              </w:rPr>
            </w:pPr>
            <w:r>
              <w:rPr>
                <w:rFonts w:hint="eastAsia" w:ascii="宋体" w:hAnsi="宋体"/>
                <w:bCs/>
                <w:iCs/>
                <w:color w:val="000000"/>
                <w:szCs w:val="21"/>
              </w:rPr>
              <w:t>答：2026年上半年，索恩格电动营业收入同比增长62%，量产交付规模持续提升。</w:t>
            </w:r>
            <w:r>
              <w:rPr>
                <w:rFonts w:hint="eastAsia"/>
              </w:rPr>
              <w:t>围绕客户需求，积极拓展驱动、制动、转向和悬架相关智能底盘业务，</w:t>
            </w:r>
            <w:r>
              <w:rPr>
                <w:rFonts w:hint="eastAsia" w:ascii="宋体" w:hAnsi="宋体"/>
                <w:bCs/>
                <w:iCs/>
                <w:color w:val="000000"/>
                <w:szCs w:val="21"/>
              </w:rPr>
              <w:t>全主动悬架电液泵平台完成整车测试，新一代800V双平台产品完成下线，商用车电机取得国际客户量产定点。</w:t>
            </w:r>
          </w:p>
          <w:p w14:paraId="4C98639F">
            <w:pPr>
              <w:spacing w:line="276" w:lineRule="auto"/>
              <w:ind w:firstLine="421"/>
              <w:rPr>
                <w:rFonts w:hint="eastAsia" w:ascii="宋体" w:hAnsi="宋体"/>
                <w:bCs/>
                <w:iCs/>
                <w:color w:val="000000"/>
                <w:szCs w:val="21"/>
              </w:rPr>
            </w:pPr>
          </w:p>
          <w:p w14:paraId="092D9139">
            <w:pPr>
              <w:spacing w:line="276" w:lineRule="auto"/>
              <w:ind w:firstLine="421"/>
              <w:rPr>
                <w:rFonts w:hint="eastAsia" w:ascii="宋体" w:hAnsi="宋体"/>
                <w:b/>
                <w:iCs/>
                <w:color w:val="000000"/>
                <w:szCs w:val="21"/>
              </w:rPr>
            </w:pPr>
            <w:r>
              <w:rPr>
                <w:rFonts w:hint="eastAsia" w:ascii="宋体" w:hAnsi="宋体"/>
                <w:b/>
                <w:iCs/>
                <w:color w:val="000000"/>
                <w:szCs w:val="21"/>
              </w:rPr>
              <w:t>6、亚新科上半年经营情况及全年展望？</w:t>
            </w:r>
          </w:p>
          <w:p w14:paraId="0362CB41">
            <w:pPr>
              <w:spacing w:line="276" w:lineRule="auto"/>
              <w:ind w:firstLine="421"/>
              <w:rPr>
                <w:rFonts w:hint="eastAsia" w:ascii="宋体" w:hAnsi="宋体"/>
                <w:bCs/>
                <w:iCs/>
                <w:color w:val="000000"/>
                <w:szCs w:val="21"/>
              </w:rPr>
            </w:pPr>
            <w:r>
              <w:rPr>
                <w:rFonts w:hint="eastAsia" w:ascii="宋体" w:hAnsi="宋体"/>
                <w:bCs/>
                <w:iCs/>
                <w:color w:val="000000"/>
                <w:szCs w:val="21"/>
              </w:rPr>
              <w:t>答：2026年上半年，亚新科收入29.9亿元，受行业价格竞争影响，收入与利润同比有所下降，但经营活动现金流同比改善，存货周转加快。下半年乘用车及商用车订单趋势向好，全年收入利润有望实现正增长。报告期内，空气供给单元实现批量配套，智能中央气源单元取得项目定点并已量产交付，双环数字化工厂建成投产，热管理、粉末冶金新工厂启动建设，总体保持稳定向好的经营形势。</w:t>
            </w:r>
          </w:p>
          <w:p w14:paraId="79FC5DDF">
            <w:pPr>
              <w:spacing w:line="276" w:lineRule="auto"/>
              <w:ind w:firstLine="421"/>
              <w:rPr>
                <w:rFonts w:hint="eastAsia" w:ascii="宋体" w:hAnsi="宋体"/>
                <w:bCs/>
                <w:iCs/>
                <w:color w:val="000000"/>
                <w:szCs w:val="21"/>
              </w:rPr>
            </w:pPr>
          </w:p>
          <w:p w14:paraId="4E7DE89A">
            <w:pPr>
              <w:spacing w:line="276" w:lineRule="auto"/>
              <w:ind w:firstLine="421"/>
              <w:rPr>
                <w:rFonts w:hint="eastAsia" w:ascii="宋体" w:hAnsi="宋体"/>
                <w:b/>
                <w:iCs/>
                <w:color w:val="000000"/>
                <w:szCs w:val="21"/>
              </w:rPr>
            </w:pPr>
            <w:r>
              <w:rPr>
                <w:rFonts w:hint="eastAsia" w:ascii="宋体" w:hAnsi="宋体"/>
                <w:b/>
                <w:iCs/>
                <w:color w:val="000000"/>
                <w:szCs w:val="21"/>
              </w:rPr>
              <w:t>7、汽车零部件板块如何应对行业竞争？</w:t>
            </w:r>
          </w:p>
          <w:p w14:paraId="6C1EC792">
            <w:pPr>
              <w:spacing w:line="276" w:lineRule="auto"/>
              <w:ind w:firstLine="421"/>
              <w:rPr>
                <w:rFonts w:hint="eastAsia" w:ascii="宋体" w:hAnsi="宋体"/>
                <w:bCs/>
                <w:iCs/>
                <w:color w:val="000000"/>
                <w:szCs w:val="21"/>
              </w:rPr>
            </w:pPr>
            <w:r>
              <w:rPr>
                <w:rFonts w:hint="eastAsia" w:ascii="宋体" w:hAnsi="宋体"/>
                <w:bCs/>
                <w:iCs/>
                <w:color w:val="000000"/>
                <w:szCs w:val="21"/>
              </w:rPr>
              <w:t>答：公司汽车零部件业务涵盖传统与新能源两大领域。传统起发电机、48V系统及商用车零部件业务保持稳定，公司通过全球产能布局和采购优化持续提升运营效率；新能源电驱、智能底盘（全主动悬架、线控转向等）及热管理等新业务有序推进，量产交付规模逐步提升。公司发挥全球布局优势，以多区域市场覆盖对冲单一市场波动影响，同时加强成本管控和技术研发，持续推进业务结构优化。</w:t>
            </w:r>
          </w:p>
          <w:p w14:paraId="64ECE30C">
            <w:pPr>
              <w:spacing w:line="276" w:lineRule="auto"/>
              <w:ind w:firstLine="421"/>
              <w:rPr>
                <w:rFonts w:hint="eastAsia" w:ascii="宋体" w:hAnsi="宋体"/>
                <w:bCs/>
                <w:iCs/>
                <w:color w:val="000000"/>
                <w:szCs w:val="21"/>
              </w:rPr>
            </w:pPr>
          </w:p>
          <w:p w14:paraId="0D2645CC">
            <w:pPr>
              <w:spacing w:line="276" w:lineRule="auto"/>
              <w:ind w:firstLine="421"/>
              <w:rPr>
                <w:rFonts w:hint="eastAsia" w:ascii="宋体" w:hAnsi="宋体"/>
                <w:b/>
                <w:iCs/>
                <w:color w:val="000000"/>
                <w:szCs w:val="21"/>
              </w:rPr>
            </w:pPr>
            <w:r>
              <w:rPr>
                <w:rFonts w:hint="eastAsia" w:ascii="宋体" w:hAnsi="宋体"/>
                <w:b/>
                <w:iCs/>
                <w:color w:val="000000"/>
                <w:szCs w:val="21"/>
              </w:rPr>
              <w:t>8、公司海外业务布局及拓展情况</w:t>
            </w:r>
          </w:p>
          <w:p w14:paraId="763F1AE3">
            <w:pPr>
              <w:spacing w:line="276" w:lineRule="auto"/>
              <w:ind w:firstLine="421"/>
              <w:rPr>
                <w:rFonts w:hint="eastAsia" w:ascii="宋体" w:hAnsi="宋体"/>
                <w:bCs/>
                <w:iCs/>
                <w:color w:val="000000"/>
                <w:szCs w:val="21"/>
              </w:rPr>
            </w:pPr>
            <w:r>
              <w:rPr>
                <w:rFonts w:hint="eastAsia" w:ascii="宋体" w:hAnsi="宋体"/>
                <w:bCs/>
                <w:iCs/>
                <w:color w:val="000000"/>
                <w:szCs w:val="21"/>
              </w:rPr>
              <w:t>答：煤机板块海外业务取得积极进展，重点市场项目获取按计划推进，澳大利亚、哈萨克斯坦、美国等重点市场均有项目落地，海外产品认证和市场准入工作持续开展。汽车零部件板块方面，索恩格在欧洲、北美等重点市场新项目获取按计划推进，全球产能布局和采购体系持续优化。整体来看，公司依托多区域市场覆盖，持续拓展海外业务空间。</w:t>
            </w:r>
          </w:p>
          <w:p w14:paraId="060551F0">
            <w:pPr>
              <w:spacing w:line="276" w:lineRule="auto"/>
              <w:ind w:firstLine="421"/>
              <w:rPr>
                <w:rFonts w:hint="eastAsia" w:ascii="宋体" w:hAnsi="宋体"/>
                <w:bCs/>
                <w:iCs/>
                <w:color w:val="000000"/>
                <w:szCs w:val="21"/>
              </w:rPr>
            </w:pPr>
          </w:p>
          <w:p w14:paraId="5DB10B09">
            <w:pPr>
              <w:numPr>
                <w:ilvl w:val="0"/>
                <w:numId w:val="1"/>
              </w:numPr>
              <w:spacing w:line="276" w:lineRule="auto"/>
              <w:ind w:firstLine="421"/>
              <w:rPr>
                <w:rFonts w:hint="eastAsia" w:ascii="宋体" w:hAnsi="宋体"/>
                <w:b/>
                <w:iCs/>
                <w:color w:val="000000"/>
                <w:szCs w:val="21"/>
              </w:rPr>
            </w:pPr>
            <w:r>
              <w:rPr>
                <w:rFonts w:hint="eastAsia" w:ascii="宋体" w:hAnsi="宋体"/>
                <w:b/>
                <w:iCs/>
                <w:color w:val="000000"/>
                <w:szCs w:val="21"/>
              </w:rPr>
              <w:t>电液控制系统市占率及智能化成套设备推广情况？</w:t>
            </w:r>
          </w:p>
          <w:p w14:paraId="485B03AD">
            <w:pPr>
              <w:spacing w:line="276" w:lineRule="auto"/>
              <w:ind w:firstLine="421"/>
              <w:rPr>
                <w:rFonts w:hint="eastAsia" w:ascii="宋体" w:hAnsi="宋体"/>
                <w:bCs/>
                <w:iCs/>
                <w:color w:val="000000"/>
                <w:szCs w:val="21"/>
              </w:rPr>
            </w:pPr>
            <w:r>
              <w:rPr>
                <w:rFonts w:hint="eastAsia" w:ascii="宋体" w:hAnsi="宋体"/>
                <w:bCs/>
                <w:iCs/>
                <w:color w:val="000000"/>
                <w:szCs w:val="21"/>
              </w:rPr>
              <w:t>答：智能化成套设备在煤矿工作面的应用逐步推广，智能化产品在市场招标中具备一定溢价空间。公司在成套化解决方案上持续完善，推动人工智能与矿山生产管控、视频分析等场景融合，下游客户对实质性自动化的需求正在逐步释放。</w:t>
            </w:r>
          </w:p>
          <w:p w14:paraId="1A93C7C6">
            <w:pPr>
              <w:spacing w:line="276" w:lineRule="auto"/>
              <w:ind w:firstLine="421"/>
              <w:rPr>
                <w:rFonts w:hint="eastAsia" w:ascii="宋体" w:hAnsi="宋体"/>
                <w:bCs/>
                <w:iCs/>
                <w:color w:val="000000"/>
                <w:szCs w:val="21"/>
              </w:rPr>
            </w:pPr>
          </w:p>
          <w:p w14:paraId="0431F374">
            <w:pPr>
              <w:numPr>
                <w:ilvl w:val="0"/>
                <w:numId w:val="1"/>
              </w:numPr>
              <w:spacing w:line="276" w:lineRule="auto"/>
              <w:ind w:firstLine="421"/>
              <w:rPr>
                <w:rFonts w:hint="eastAsia" w:ascii="宋体" w:hAnsi="宋体"/>
                <w:b/>
                <w:iCs/>
                <w:color w:val="000000"/>
                <w:szCs w:val="21"/>
              </w:rPr>
            </w:pPr>
            <w:r>
              <w:rPr>
                <w:rFonts w:hint="eastAsia" w:ascii="宋体" w:hAnsi="宋体"/>
                <w:b/>
                <w:iCs/>
                <w:color w:val="000000"/>
                <w:szCs w:val="21"/>
              </w:rPr>
              <w:t>公司的经营现金流及分红安排如何？</w:t>
            </w:r>
          </w:p>
          <w:p w14:paraId="6298AA80">
            <w:pPr>
              <w:spacing w:line="276" w:lineRule="auto"/>
              <w:ind w:firstLine="421"/>
              <w:rPr>
                <w:rFonts w:hint="eastAsia" w:ascii="宋体" w:hAnsi="宋体"/>
                <w:bCs/>
                <w:iCs/>
                <w:color w:val="000000"/>
                <w:szCs w:val="21"/>
              </w:rPr>
            </w:pPr>
            <w:r>
              <w:rPr>
                <w:rFonts w:hint="eastAsia" w:ascii="宋体" w:hAnsi="宋体"/>
                <w:bCs/>
                <w:iCs/>
                <w:color w:val="000000"/>
                <w:szCs w:val="21"/>
              </w:rPr>
              <w:t>答：2026年上半年，公司经营活动产生的现金流量净额同比增长63.26%。公司保持连续稳定的现金分红政策，2025年度分红占归母净利润比例超过50%，自上市以来累计现金分红约97.81亿元，未来公司将保持分红政策的连续性、稳定性，努力以持续的现金分红回报投资者。同时，公司同步实施股份回购及管理层增持计划，增强投资者信心。</w:t>
            </w:r>
          </w:p>
          <w:p w14:paraId="0E709D3A">
            <w:pPr>
              <w:spacing w:line="276" w:lineRule="auto"/>
              <w:ind w:firstLine="421"/>
              <w:rPr>
                <w:rFonts w:hint="eastAsia" w:ascii="宋体" w:hAnsi="宋体"/>
                <w:bCs/>
                <w:iCs/>
                <w:color w:val="000000"/>
                <w:szCs w:val="21"/>
              </w:rPr>
            </w:pPr>
          </w:p>
          <w:p w14:paraId="1CE15EC2">
            <w:pPr>
              <w:numPr>
                <w:ilvl w:val="0"/>
                <w:numId w:val="1"/>
              </w:numPr>
              <w:spacing w:line="276" w:lineRule="auto"/>
              <w:ind w:firstLine="421"/>
              <w:rPr>
                <w:rFonts w:hint="eastAsia" w:ascii="宋体" w:hAnsi="宋体"/>
                <w:b/>
                <w:iCs/>
                <w:color w:val="000000"/>
                <w:szCs w:val="21"/>
              </w:rPr>
            </w:pPr>
            <w:r>
              <w:rPr>
                <w:rFonts w:hint="eastAsia" w:ascii="宋体" w:hAnsi="宋体"/>
                <w:b/>
                <w:iCs/>
                <w:color w:val="000000"/>
                <w:szCs w:val="21"/>
              </w:rPr>
              <w:t>管理层对未来发展的总体判断？</w:t>
            </w:r>
          </w:p>
          <w:p w14:paraId="2CFDF1A5">
            <w:pPr>
              <w:spacing w:line="276" w:lineRule="auto"/>
              <w:ind w:firstLine="421"/>
              <w:rPr>
                <w:rFonts w:ascii="宋体" w:hAnsi="宋体"/>
                <w:bCs/>
                <w:iCs/>
                <w:color w:val="000000"/>
                <w:szCs w:val="21"/>
              </w:rPr>
            </w:pPr>
            <w:r>
              <w:rPr>
                <w:rFonts w:hint="eastAsia" w:ascii="宋体" w:hAnsi="宋体"/>
                <w:bCs/>
                <w:iCs/>
                <w:color w:val="000000"/>
                <w:szCs w:val="21"/>
              </w:rPr>
              <w:t>答：公司围绕“成为全球领先并可持续发展的智能工业解决方案提供商”愿景，统筹稳基本盘、拓增量、促转型，加快数字化、智能化、电动化和全球化转型。煤机板块积极应对市场需求和价格竞争压力，持续改善回款和现金流；汽车零部件板块业务总体保持稳定，新能源和智能底盘业务加快拓展；工业智能板块新产品、新业务保持良好发展趋势，公司业务结构持续优化，转型发展取得积极进展。可转债发行申请已获上交所受理并完成首轮审核问询回复，公司围绕主营业务转型和未来产业发展方向，持续开展产业研究和投资项目储备。公司通过多方面措施的实施，努力保持生产经营的稳定性。</w:t>
            </w:r>
          </w:p>
          <w:p w14:paraId="77304D81">
            <w:pPr>
              <w:spacing w:line="276" w:lineRule="auto"/>
              <w:ind w:firstLine="421"/>
              <w:rPr>
                <w:rFonts w:hint="eastAsia" w:ascii="宋体" w:hAnsi="宋体"/>
                <w:bCs/>
                <w:iCs/>
                <w:color w:val="000000"/>
                <w:szCs w:val="21"/>
              </w:rPr>
            </w:pPr>
          </w:p>
        </w:tc>
      </w:tr>
    </w:tbl>
    <w:p w14:paraId="5FACFBD9"/>
    <w:sectPr>
      <w:head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Segoe UI">
    <w:panose1 w:val="020B0502040204020203"/>
    <w:charset w:val="00"/>
    <w:family w:val="swiss"/>
    <w:pitch w:val="default"/>
    <w:sig w:usb0="E4002EFF" w:usb1="C000E47F" w:usb2="00000009" w:usb3="00000000" w:csb0="2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D6617E">
    <w:pPr>
      <w:pStyle w:val="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D480DF0"/>
    <w:multiLevelType w:val="singleLevel"/>
    <w:tmpl w:val="9D480DF0"/>
    <w:lvl w:ilvl="0" w:tentative="0">
      <w:start w:val="9"/>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61C7"/>
    <w:rsid w:val="00007DD0"/>
    <w:rsid w:val="000171E8"/>
    <w:rsid w:val="00024E11"/>
    <w:rsid w:val="000254B7"/>
    <w:rsid w:val="000268C0"/>
    <w:rsid w:val="000363B5"/>
    <w:rsid w:val="000375D7"/>
    <w:rsid w:val="00043015"/>
    <w:rsid w:val="00046DDE"/>
    <w:rsid w:val="00047EB9"/>
    <w:rsid w:val="0005141A"/>
    <w:rsid w:val="00060A74"/>
    <w:rsid w:val="00067110"/>
    <w:rsid w:val="00083CC3"/>
    <w:rsid w:val="00091E50"/>
    <w:rsid w:val="0009298A"/>
    <w:rsid w:val="000A2808"/>
    <w:rsid w:val="000A3BAC"/>
    <w:rsid w:val="000A6188"/>
    <w:rsid w:val="000C1192"/>
    <w:rsid w:val="000C22ED"/>
    <w:rsid w:val="000C26FD"/>
    <w:rsid w:val="000C2D85"/>
    <w:rsid w:val="000D51BD"/>
    <w:rsid w:val="000E5700"/>
    <w:rsid w:val="000E7BE0"/>
    <w:rsid w:val="000F0C4B"/>
    <w:rsid w:val="000F0E22"/>
    <w:rsid w:val="000F4E2D"/>
    <w:rsid w:val="00103C75"/>
    <w:rsid w:val="00105A04"/>
    <w:rsid w:val="001104AD"/>
    <w:rsid w:val="001169A9"/>
    <w:rsid w:val="00125EB2"/>
    <w:rsid w:val="001372C7"/>
    <w:rsid w:val="00142A4C"/>
    <w:rsid w:val="00144279"/>
    <w:rsid w:val="00144F83"/>
    <w:rsid w:val="001452FF"/>
    <w:rsid w:val="001575C9"/>
    <w:rsid w:val="0016617A"/>
    <w:rsid w:val="00167E99"/>
    <w:rsid w:val="001704D4"/>
    <w:rsid w:val="001975AB"/>
    <w:rsid w:val="001A00F5"/>
    <w:rsid w:val="001A1F65"/>
    <w:rsid w:val="001A5CE9"/>
    <w:rsid w:val="001A6D45"/>
    <w:rsid w:val="001C50AD"/>
    <w:rsid w:val="001C7E8A"/>
    <w:rsid w:val="001D22EE"/>
    <w:rsid w:val="001D4C89"/>
    <w:rsid w:val="001E1838"/>
    <w:rsid w:val="001E3145"/>
    <w:rsid w:val="001E6509"/>
    <w:rsid w:val="001E7968"/>
    <w:rsid w:val="001F1F7C"/>
    <w:rsid w:val="0020445C"/>
    <w:rsid w:val="0022180A"/>
    <w:rsid w:val="00223ABC"/>
    <w:rsid w:val="002241B9"/>
    <w:rsid w:val="002274D9"/>
    <w:rsid w:val="0023014B"/>
    <w:rsid w:val="0023455A"/>
    <w:rsid w:val="00237994"/>
    <w:rsid w:val="0024773B"/>
    <w:rsid w:val="00247EBF"/>
    <w:rsid w:val="00251D58"/>
    <w:rsid w:val="002530EE"/>
    <w:rsid w:val="002549E6"/>
    <w:rsid w:val="00255174"/>
    <w:rsid w:val="00256602"/>
    <w:rsid w:val="00271C8D"/>
    <w:rsid w:val="00273B53"/>
    <w:rsid w:val="0028080C"/>
    <w:rsid w:val="00283CD9"/>
    <w:rsid w:val="00295257"/>
    <w:rsid w:val="00297703"/>
    <w:rsid w:val="002A0826"/>
    <w:rsid w:val="002A0984"/>
    <w:rsid w:val="002A2074"/>
    <w:rsid w:val="002A589B"/>
    <w:rsid w:val="002B1184"/>
    <w:rsid w:val="002B71B8"/>
    <w:rsid w:val="002B7469"/>
    <w:rsid w:val="002C22C6"/>
    <w:rsid w:val="002C6568"/>
    <w:rsid w:val="002C723B"/>
    <w:rsid w:val="002D39BC"/>
    <w:rsid w:val="002E1B15"/>
    <w:rsid w:val="002E1D3A"/>
    <w:rsid w:val="002E64CE"/>
    <w:rsid w:val="002F15B7"/>
    <w:rsid w:val="002F6320"/>
    <w:rsid w:val="003005F0"/>
    <w:rsid w:val="003030BF"/>
    <w:rsid w:val="00304F89"/>
    <w:rsid w:val="00306023"/>
    <w:rsid w:val="003216B6"/>
    <w:rsid w:val="00324648"/>
    <w:rsid w:val="00324DA1"/>
    <w:rsid w:val="00326768"/>
    <w:rsid w:val="00327D5D"/>
    <w:rsid w:val="00344914"/>
    <w:rsid w:val="00346917"/>
    <w:rsid w:val="00354A7B"/>
    <w:rsid w:val="00360FDA"/>
    <w:rsid w:val="00363075"/>
    <w:rsid w:val="00367D18"/>
    <w:rsid w:val="00372A1C"/>
    <w:rsid w:val="0037435A"/>
    <w:rsid w:val="00377D8F"/>
    <w:rsid w:val="00383679"/>
    <w:rsid w:val="003A1E68"/>
    <w:rsid w:val="003B0122"/>
    <w:rsid w:val="003B0BE5"/>
    <w:rsid w:val="003C62AF"/>
    <w:rsid w:val="003D18F1"/>
    <w:rsid w:val="003D3424"/>
    <w:rsid w:val="003E001E"/>
    <w:rsid w:val="003E1D3D"/>
    <w:rsid w:val="003F7C4D"/>
    <w:rsid w:val="0040075F"/>
    <w:rsid w:val="00403300"/>
    <w:rsid w:val="004118C0"/>
    <w:rsid w:val="00417A31"/>
    <w:rsid w:val="0042004B"/>
    <w:rsid w:val="004236D5"/>
    <w:rsid w:val="00433384"/>
    <w:rsid w:val="0043777D"/>
    <w:rsid w:val="0045702C"/>
    <w:rsid w:val="0045767F"/>
    <w:rsid w:val="00463E9B"/>
    <w:rsid w:val="00467414"/>
    <w:rsid w:val="0047105E"/>
    <w:rsid w:val="00473F30"/>
    <w:rsid w:val="0048591A"/>
    <w:rsid w:val="00486D86"/>
    <w:rsid w:val="0048721A"/>
    <w:rsid w:val="004A0BD5"/>
    <w:rsid w:val="004A1BBF"/>
    <w:rsid w:val="004A73E5"/>
    <w:rsid w:val="004B60FF"/>
    <w:rsid w:val="004B7372"/>
    <w:rsid w:val="004C19BF"/>
    <w:rsid w:val="004D7640"/>
    <w:rsid w:val="004E1A9B"/>
    <w:rsid w:val="004E45B0"/>
    <w:rsid w:val="004F01C1"/>
    <w:rsid w:val="004F64D6"/>
    <w:rsid w:val="004F6D0C"/>
    <w:rsid w:val="00500AB6"/>
    <w:rsid w:val="00511CAD"/>
    <w:rsid w:val="00512253"/>
    <w:rsid w:val="005155FB"/>
    <w:rsid w:val="00523907"/>
    <w:rsid w:val="005277C6"/>
    <w:rsid w:val="00537C53"/>
    <w:rsid w:val="005438F5"/>
    <w:rsid w:val="00544901"/>
    <w:rsid w:val="00546CF9"/>
    <w:rsid w:val="005474D3"/>
    <w:rsid w:val="00550737"/>
    <w:rsid w:val="00555DD2"/>
    <w:rsid w:val="00565ED9"/>
    <w:rsid w:val="005760C6"/>
    <w:rsid w:val="00585A1B"/>
    <w:rsid w:val="00591260"/>
    <w:rsid w:val="00591314"/>
    <w:rsid w:val="00592EAA"/>
    <w:rsid w:val="00593D40"/>
    <w:rsid w:val="00595F1B"/>
    <w:rsid w:val="005A3BE0"/>
    <w:rsid w:val="005B1026"/>
    <w:rsid w:val="005B19D3"/>
    <w:rsid w:val="005B642F"/>
    <w:rsid w:val="005C04C1"/>
    <w:rsid w:val="005C1785"/>
    <w:rsid w:val="005C4CB5"/>
    <w:rsid w:val="005D2D87"/>
    <w:rsid w:val="005D6A09"/>
    <w:rsid w:val="005E2B4B"/>
    <w:rsid w:val="005E5F63"/>
    <w:rsid w:val="005E6BA1"/>
    <w:rsid w:val="005F1985"/>
    <w:rsid w:val="0060779A"/>
    <w:rsid w:val="0061414F"/>
    <w:rsid w:val="006225D4"/>
    <w:rsid w:val="00622F13"/>
    <w:rsid w:val="00625503"/>
    <w:rsid w:val="0062662D"/>
    <w:rsid w:val="00632E78"/>
    <w:rsid w:val="006344F1"/>
    <w:rsid w:val="00637186"/>
    <w:rsid w:val="00645F80"/>
    <w:rsid w:val="00646DF4"/>
    <w:rsid w:val="00651DE6"/>
    <w:rsid w:val="006523BB"/>
    <w:rsid w:val="0065347E"/>
    <w:rsid w:val="00654B49"/>
    <w:rsid w:val="00662505"/>
    <w:rsid w:val="0066674C"/>
    <w:rsid w:val="00675926"/>
    <w:rsid w:val="006760F7"/>
    <w:rsid w:val="006861C7"/>
    <w:rsid w:val="00686DDF"/>
    <w:rsid w:val="0069493B"/>
    <w:rsid w:val="00697B12"/>
    <w:rsid w:val="006A3D63"/>
    <w:rsid w:val="006A55BB"/>
    <w:rsid w:val="006A637E"/>
    <w:rsid w:val="006A6BED"/>
    <w:rsid w:val="006A7613"/>
    <w:rsid w:val="006B661A"/>
    <w:rsid w:val="006B7D00"/>
    <w:rsid w:val="006C4B66"/>
    <w:rsid w:val="006C6BC5"/>
    <w:rsid w:val="006D3F4E"/>
    <w:rsid w:val="006D4595"/>
    <w:rsid w:val="006D61A2"/>
    <w:rsid w:val="006E1DB4"/>
    <w:rsid w:val="006F5645"/>
    <w:rsid w:val="0074309D"/>
    <w:rsid w:val="00750C6D"/>
    <w:rsid w:val="00753DB6"/>
    <w:rsid w:val="007623A7"/>
    <w:rsid w:val="00763847"/>
    <w:rsid w:val="0077120D"/>
    <w:rsid w:val="00771FE3"/>
    <w:rsid w:val="00776BDE"/>
    <w:rsid w:val="00786870"/>
    <w:rsid w:val="00792237"/>
    <w:rsid w:val="0079272A"/>
    <w:rsid w:val="007A1DA9"/>
    <w:rsid w:val="007B2252"/>
    <w:rsid w:val="007B79D9"/>
    <w:rsid w:val="007C67B1"/>
    <w:rsid w:val="007E354A"/>
    <w:rsid w:val="007E69C8"/>
    <w:rsid w:val="0080525B"/>
    <w:rsid w:val="008062C5"/>
    <w:rsid w:val="0080741A"/>
    <w:rsid w:val="00814B5B"/>
    <w:rsid w:val="00817365"/>
    <w:rsid w:val="00836F34"/>
    <w:rsid w:val="00843E73"/>
    <w:rsid w:val="00844EBF"/>
    <w:rsid w:val="00852B30"/>
    <w:rsid w:val="00854F61"/>
    <w:rsid w:val="00864202"/>
    <w:rsid w:val="00865EAC"/>
    <w:rsid w:val="00873B59"/>
    <w:rsid w:val="0087701F"/>
    <w:rsid w:val="00892022"/>
    <w:rsid w:val="0089283D"/>
    <w:rsid w:val="008A0ADC"/>
    <w:rsid w:val="008A1BAB"/>
    <w:rsid w:val="008B38B7"/>
    <w:rsid w:val="008B458E"/>
    <w:rsid w:val="008C4D4A"/>
    <w:rsid w:val="008E11AE"/>
    <w:rsid w:val="008E1708"/>
    <w:rsid w:val="008E19B0"/>
    <w:rsid w:val="008E4844"/>
    <w:rsid w:val="00904492"/>
    <w:rsid w:val="00904DFB"/>
    <w:rsid w:val="0091457B"/>
    <w:rsid w:val="00923763"/>
    <w:rsid w:val="00930ED6"/>
    <w:rsid w:val="0093293F"/>
    <w:rsid w:val="00933105"/>
    <w:rsid w:val="0093681C"/>
    <w:rsid w:val="009474EF"/>
    <w:rsid w:val="00962626"/>
    <w:rsid w:val="009762CF"/>
    <w:rsid w:val="009767DD"/>
    <w:rsid w:val="00977AF2"/>
    <w:rsid w:val="00985FC5"/>
    <w:rsid w:val="009925A0"/>
    <w:rsid w:val="00993BDD"/>
    <w:rsid w:val="009A6DFB"/>
    <w:rsid w:val="009B6EC0"/>
    <w:rsid w:val="009C4E52"/>
    <w:rsid w:val="009C508C"/>
    <w:rsid w:val="009C7FAF"/>
    <w:rsid w:val="009D4199"/>
    <w:rsid w:val="009E5E6A"/>
    <w:rsid w:val="009F0DD5"/>
    <w:rsid w:val="009F0F59"/>
    <w:rsid w:val="009F1B95"/>
    <w:rsid w:val="009F1E5F"/>
    <w:rsid w:val="009F6C05"/>
    <w:rsid w:val="009F7468"/>
    <w:rsid w:val="00A00C4D"/>
    <w:rsid w:val="00A0642E"/>
    <w:rsid w:val="00A13CB6"/>
    <w:rsid w:val="00A14A1A"/>
    <w:rsid w:val="00A20FF5"/>
    <w:rsid w:val="00A22CDD"/>
    <w:rsid w:val="00A25AEE"/>
    <w:rsid w:val="00A2712B"/>
    <w:rsid w:val="00A31EB1"/>
    <w:rsid w:val="00A33AEA"/>
    <w:rsid w:val="00A35512"/>
    <w:rsid w:val="00A36248"/>
    <w:rsid w:val="00A37A24"/>
    <w:rsid w:val="00A427A5"/>
    <w:rsid w:val="00A461CD"/>
    <w:rsid w:val="00A469C5"/>
    <w:rsid w:val="00A5317D"/>
    <w:rsid w:val="00A6093F"/>
    <w:rsid w:val="00A6284E"/>
    <w:rsid w:val="00A63E81"/>
    <w:rsid w:val="00A8775A"/>
    <w:rsid w:val="00A90CDC"/>
    <w:rsid w:val="00AA1678"/>
    <w:rsid w:val="00AA5998"/>
    <w:rsid w:val="00AB07E7"/>
    <w:rsid w:val="00AC3EB5"/>
    <w:rsid w:val="00AD1BA8"/>
    <w:rsid w:val="00B02A29"/>
    <w:rsid w:val="00B03522"/>
    <w:rsid w:val="00B04AD6"/>
    <w:rsid w:val="00B14CAA"/>
    <w:rsid w:val="00B257CE"/>
    <w:rsid w:val="00B36FF4"/>
    <w:rsid w:val="00B37892"/>
    <w:rsid w:val="00B4746C"/>
    <w:rsid w:val="00B5458A"/>
    <w:rsid w:val="00B61577"/>
    <w:rsid w:val="00B61D20"/>
    <w:rsid w:val="00B65354"/>
    <w:rsid w:val="00B70563"/>
    <w:rsid w:val="00B71A0E"/>
    <w:rsid w:val="00B77FCA"/>
    <w:rsid w:val="00B81765"/>
    <w:rsid w:val="00B83029"/>
    <w:rsid w:val="00B832F5"/>
    <w:rsid w:val="00B867A6"/>
    <w:rsid w:val="00B91A2B"/>
    <w:rsid w:val="00BA03B0"/>
    <w:rsid w:val="00BA2FAB"/>
    <w:rsid w:val="00BA7824"/>
    <w:rsid w:val="00BB2C4C"/>
    <w:rsid w:val="00BB5E28"/>
    <w:rsid w:val="00BB725E"/>
    <w:rsid w:val="00BD15F3"/>
    <w:rsid w:val="00BD7986"/>
    <w:rsid w:val="00BD79D3"/>
    <w:rsid w:val="00BF4A3E"/>
    <w:rsid w:val="00BF5282"/>
    <w:rsid w:val="00C043C3"/>
    <w:rsid w:val="00C04F82"/>
    <w:rsid w:val="00C11452"/>
    <w:rsid w:val="00C15AC0"/>
    <w:rsid w:val="00C166C3"/>
    <w:rsid w:val="00C17A0F"/>
    <w:rsid w:val="00C26030"/>
    <w:rsid w:val="00C3214D"/>
    <w:rsid w:val="00C41091"/>
    <w:rsid w:val="00C5176B"/>
    <w:rsid w:val="00C56ABC"/>
    <w:rsid w:val="00C63056"/>
    <w:rsid w:val="00C661D1"/>
    <w:rsid w:val="00C70DC7"/>
    <w:rsid w:val="00C775BA"/>
    <w:rsid w:val="00C77F41"/>
    <w:rsid w:val="00C83544"/>
    <w:rsid w:val="00C85331"/>
    <w:rsid w:val="00C85A50"/>
    <w:rsid w:val="00C912DB"/>
    <w:rsid w:val="00C94D46"/>
    <w:rsid w:val="00CA443A"/>
    <w:rsid w:val="00CA7234"/>
    <w:rsid w:val="00CB2461"/>
    <w:rsid w:val="00CB37FD"/>
    <w:rsid w:val="00CC4D65"/>
    <w:rsid w:val="00CC61E7"/>
    <w:rsid w:val="00CD25AD"/>
    <w:rsid w:val="00CD3FFC"/>
    <w:rsid w:val="00CE099B"/>
    <w:rsid w:val="00CF565C"/>
    <w:rsid w:val="00D016A3"/>
    <w:rsid w:val="00D211F9"/>
    <w:rsid w:val="00D217BB"/>
    <w:rsid w:val="00D358B0"/>
    <w:rsid w:val="00D36B7B"/>
    <w:rsid w:val="00D512E3"/>
    <w:rsid w:val="00D57E91"/>
    <w:rsid w:val="00D602C9"/>
    <w:rsid w:val="00D70EE3"/>
    <w:rsid w:val="00D71E34"/>
    <w:rsid w:val="00D80E53"/>
    <w:rsid w:val="00D82128"/>
    <w:rsid w:val="00D90C1F"/>
    <w:rsid w:val="00D91E1F"/>
    <w:rsid w:val="00DA26A9"/>
    <w:rsid w:val="00DB01FF"/>
    <w:rsid w:val="00DC7778"/>
    <w:rsid w:val="00DD45E3"/>
    <w:rsid w:val="00DE3B8C"/>
    <w:rsid w:val="00DE7391"/>
    <w:rsid w:val="00DF2DB5"/>
    <w:rsid w:val="00DF51A4"/>
    <w:rsid w:val="00DF6560"/>
    <w:rsid w:val="00E04914"/>
    <w:rsid w:val="00E04CC0"/>
    <w:rsid w:val="00E136FF"/>
    <w:rsid w:val="00E241F4"/>
    <w:rsid w:val="00E32528"/>
    <w:rsid w:val="00E35F26"/>
    <w:rsid w:val="00E53165"/>
    <w:rsid w:val="00E576FC"/>
    <w:rsid w:val="00E61EF7"/>
    <w:rsid w:val="00E663B4"/>
    <w:rsid w:val="00E80CEB"/>
    <w:rsid w:val="00EA5103"/>
    <w:rsid w:val="00EA6FB9"/>
    <w:rsid w:val="00EB0422"/>
    <w:rsid w:val="00EB0AA3"/>
    <w:rsid w:val="00EB5E6A"/>
    <w:rsid w:val="00EC15D0"/>
    <w:rsid w:val="00EC2AD7"/>
    <w:rsid w:val="00EC512B"/>
    <w:rsid w:val="00EC66A6"/>
    <w:rsid w:val="00ED7DE0"/>
    <w:rsid w:val="00EE7891"/>
    <w:rsid w:val="00EF49FE"/>
    <w:rsid w:val="00EF5341"/>
    <w:rsid w:val="00F04908"/>
    <w:rsid w:val="00F07C21"/>
    <w:rsid w:val="00F12EF6"/>
    <w:rsid w:val="00F15828"/>
    <w:rsid w:val="00F21065"/>
    <w:rsid w:val="00F21BD0"/>
    <w:rsid w:val="00F24CB4"/>
    <w:rsid w:val="00F43465"/>
    <w:rsid w:val="00F45475"/>
    <w:rsid w:val="00F5260F"/>
    <w:rsid w:val="00F64E72"/>
    <w:rsid w:val="00F70C7D"/>
    <w:rsid w:val="00F70D6A"/>
    <w:rsid w:val="00F77B6C"/>
    <w:rsid w:val="00F8743C"/>
    <w:rsid w:val="00F9065D"/>
    <w:rsid w:val="00F9272E"/>
    <w:rsid w:val="00F94D5F"/>
    <w:rsid w:val="00F95B9C"/>
    <w:rsid w:val="00F97743"/>
    <w:rsid w:val="00FA6DAF"/>
    <w:rsid w:val="00FB5FDA"/>
    <w:rsid w:val="00FC6884"/>
    <w:rsid w:val="00FE40A4"/>
    <w:rsid w:val="00FE62F3"/>
    <w:rsid w:val="00FF71D2"/>
    <w:rsid w:val="11A41668"/>
    <w:rsid w:val="1435492F"/>
    <w:rsid w:val="1B2418A5"/>
    <w:rsid w:val="1CA947A9"/>
    <w:rsid w:val="1D49781A"/>
    <w:rsid w:val="1FBFC074"/>
    <w:rsid w:val="21F6268C"/>
    <w:rsid w:val="26206248"/>
    <w:rsid w:val="2A7478B3"/>
    <w:rsid w:val="2DAD4602"/>
    <w:rsid w:val="31B86012"/>
    <w:rsid w:val="330B70B2"/>
    <w:rsid w:val="36FB9E1F"/>
    <w:rsid w:val="3BFA3B96"/>
    <w:rsid w:val="3CEF3472"/>
    <w:rsid w:val="3EFF16E9"/>
    <w:rsid w:val="4B2C7C9E"/>
    <w:rsid w:val="4DF80FD5"/>
    <w:rsid w:val="4F2B444C"/>
    <w:rsid w:val="510E228A"/>
    <w:rsid w:val="51D856FF"/>
    <w:rsid w:val="5AE26D53"/>
    <w:rsid w:val="64A8600E"/>
    <w:rsid w:val="654900FB"/>
    <w:rsid w:val="68A13D2A"/>
    <w:rsid w:val="6B192ACB"/>
    <w:rsid w:val="6E4007CA"/>
    <w:rsid w:val="77CF73AC"/>
    <w:rsid w:val="78FF0116"/>
    <w:rsid w:val="7F3B67B1"/>
    <w:rsid w:val="7F4570C8"/>
    <w:rsid w:val="B7DDD54D"/>
    <w:rsid w:val="E3FFE6ED"/>
    <w:rsid w:val="F5DB8A63"/>
    <w:rsid w:val="F797912E"/>
    <w:rsid w:val="FE7B48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spacing w:beforeAutospacing="1" w:afterAutospacing="1"/>
      <w:jc w:val="left"/>
      <w:outlineLvl w:val="0"/>
    </w:pPr>
    <w:rPr>
      <w:rFonts w:hint="eastAsia" w:ascii="宋体" w:hAnsi="宋体"/>
      <w:b/>
      <w:bCs/>
      <w:kern w:val="44"/>
      <w:sz w:val="48"/>
      <w:szCs w:val="48"/>
    </w:rPr>
  </w:style>
  <w:style w:type="character" w:default="1" w:styleId="8">
    <w:name w:val="Default Paragraph Font"/>
    <w:semiHidden/>
    <w:unhideWhenUsed/>
    <w:qFormat/>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3">
    <w:name w:val="footer"/>
    <w:basedOn w:val="1"/>
    <w:link w:val="15"/>
    <w:qFormat/>
    <w:uiPriority w:val="0"/>
    <w:pPr>
      <w:tabs>
        <w:tab w:val="center" w:pos="4153"/>
        <w:tab w:val="right" w:pos="8306"/>
      </w:tabs>
      <w:snapToGrid w:val="0"/>
      <w:jc w:val="left"/>
    </w:pPr>
    <w:rPr>
      <w:sz w:val="18"/>
      <w:szCs w:val="18"/>
    </w:rPr>
  </w:style>
  <w:style w:type="paragraph" w:styleId="4">
    <w:name w:val="header"/>
    <w:basedOn w:val="1"/>
    <w:link w:val="16"/>
    <w:qFormat/>
    <w:uiPriority w:val="0"/>
    <w:pPr>
      <w:pBdr>
        <w:bottom w:val="single" w:color="auto" w:sz="6" w:space="1"/>
      </w:pBdr>
      <w:tabs>
        <w:tab w:val="center" w:pos="4153"/>
        <w:tab w:val="right" w:pos="8306"/>
      </w:tabs>
      <w:snapToGrid w:val="0"/>
      <w:jc w:val="center"/>
    </w:pPr>
    <w:rPr>
      <w:sz w:val="18"/>
      <w:szCs w:val="18"/>
    </w:rPr>
  </w:style>
  <w:style w:type="paragraph" w:styleId="5">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rPr>
  </w:style>
  <w:style w:type="paragraph" w:styleId="6">
    <w:name w:val="Normal (Web)"/>
    <w:basedOn w:val="1"/>
    <w:qFormat/>
    <w:uiPriority w:val="0"/>
    <w:pPr>
      <w:spacing w:beforeAutospacing="1" w:afterAutospacing="1"/>
      <w:jc w:val="left"/>
    </w:pPr>
    <w:rPr>
      <w:kern w:val="0"/>
      <w:sz w:val="24"/>
    </w:rPr>
  </w:style>
  <w:style w:type="character" w:styleId="9">
    <w:name w:val="Strong"/>
    <w:basedOn w:val="8"/>
    <w:qFormat/>
    <w:uiPriority w:val="0"/>
    <w:rPr>
      <w:b/>
    </w:rPr>
  </w:style>
  <w:style w:type="character" w:styleId="10">
    <w:name w:val="Hyperlink"/>
    <w:basedOn w:val="8"/>
    <w:unhideWhenUsed/>
    <w:qFormat/>
    <w:uiPriority w:val="99"/>
    <w:rPr>
      <w:color w:val="0563C1"/>
      <w:u w:val="single"/>
    </w:rPr>
  </w:style>
  <w:style w:type="paragraph" w:customStyle="1" w:styleId="11">
    <w:name w:val="_Style 6"/>
    <w:basedOn w:val="1"/>
    <w:qFormat/>
    <w:uiPriority w:val="34"/>
    <w:pPr>
      <w:ind w:firstLine="420" w:firstLineChars="200"/>
    </w:pPr>
    <w:rPr>
      <w:rFonts w:ascii="Calibri" w:hAnsi="Calibri"/>
      <w:szCs w:val="22"/>
    </w:rPr>
  </w:style>
  <w:style w:type="paragraph" w:customStyle="1" w:styleId="12">
    <w:name w:val="Char Char Char"/>
    <w:basedOn w:val="1"/>
    <w:qFormat/>
    <w:uiPriority w:val="0"/>
    <w:rPr>
      <w:szCs w:val="21"/>
    </w:rPr>
  </w:style>
  <w:style w:type="paragraph" w:customStyle="1" w:styleId="13">
    <w:name w:val="Char Char Char Char Char Char Char Char Char Char Char Char Char Char Char Char"/>
    <w:basedOn w:val="1"/>
    <w:qFormat/>
    <w:uiPriority w:val="0"/>
  </w:style>
  <w:style w:type="paragraph" w:customStyle="1" w:styleId="14">
    <w:name w:val="Char Char Char1"/>
    <w:basedOn w:val="1"/>
    <w:qFormat/>
    <w:uiPriority w:val="0"/>
  </w:style>
  <w:style w:type="character" w:customStyle="1" w:styleId="15">
    <w:name w:val="页脚 字符"/>
    <w:basedOn w:val="8"/>
    <w:link w:val="3"/>
    <w:qFormat/>
    <w:uiPriority w:val="0"/>
    <w:rPr>
      <w:kern w:val="2"/>
      <w:sz w:val="18"/>
      <w:szCs w:val="18"/>
    </w:rPr>
  </w:style>
  <w:style w:type="character" w:customStyle="1" w:styleId="16">
    <w:name w:val="页眉 字符"/>
    <w:basedOn w:val="8"/>
    <w:link w:val="4"/>
    <w:qFormat/>
    <w:uiPriority w:val="0"/>
    <w:rPr>
      <w:kern w:val="2"/>
      <w:sz w:val="18"/>
      <w:szCs w:val="18"/>
    </w:rPr>
  </w:style>
  <w:style w:type="paragraph" w:styleId="17">
    <w:name w:val="List Paragraph"/>
    <w:basedOn w:val="1"/>
    <w:unhideWhenUsed/>
    <w:qFormat/>
    <w:uiPriority w:val="99"/>
    <w:pPr>
      <w:ind w:firstLine="420" w:firstLineChars="200"/>
    </w:pPr>
  </w:style>
  <w:style w:type="paragraph" w:customStyle="1" w:styleId="18">
    <w:name w:val="修订1"/>
    <w:hidden/>
    <w:unhideWhenUsed/>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微软中国</Company>
  <Pages>4</Pages>
  <Words>3314</Words>
  <Characters>3660</Characters>
  <Lines>249</Lines>
  <Paragraphs>254</Paragraphs>
  <TotalTime>0</TotalTime>
  <ScaleCrop>false</ScaleCrop>
  <LinksUpToDate>false</LinksUpToDate>
  <CharactersWithSpaces>3753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2025-10-14T07:55:00Z</dcterms:created>
  <dc:creator>微软用户</dc:creator>
  <cp:lastModifiedBy>安雨萌</cp:lastModifiedBy>
  <cp:lastPrinted>2026-01-19T08:27:00Z</cp:lastPrinted>
  <dcterms:modified xsi:type="dcterms:W3CDTF">2026-09-09T09:21:37Z</dcterms:modified>
  <cp:revision>44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943EEE7A7C8F4745B48AC773F5668163_13</vt:lpwstr>
  </property>
  <property fmtid="{D5CDD505-2E9C-101B-9397-08002B2CF9AE}" pid="4" name="KSOTemplateDocerSaveRecord">
    <vt:lpwstr>eyJoZGlkIjoiYjk5ODM0YmMxOWJiYWQyNDU4MGIzYWRmYTA0ZmI5NDciLCJ1c2VySWQiOiIzMTcyMTMzMjgifQ==</vt:lpwstr>
  </property>
</Properties>
</file>