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E20442">
      <w:pPr>
        <w:rPr>
          <w:rFonts w:ascii="宋体" w:hAnsi="宋体"/>
          <w:b/>
          <w:sz w:val="24"/>
        </w:rPr>
      </w:pPr>
      <w:r>
        <w:rPr>
          <w:rFonts w:hint="eastAsia" w:ascii="宋体" w:hAnsi="宋体"/>
          <w:b/>
          <w:sz w:val="24"/>
        </w:rPr>
        <w:t>证券代码：600222                                   证券简称：太龙药业</w:t>
      </w:r>
    </w:p>
    <w:p w14:paraId="57E127ED"/>
    <w:p w14:paraId="115CB948">
      <w:pPr>
        <w:jc w:val="center"/>
        <w:rPr>
          <w:rFonts w:ascii="黑体" w:hAnsi="黑体" w:eastAsia="黑体"/>
          <w:sz w:val="32"/>
        </w:rPr>
      </w:pPr>
      <w:r>
        <w:rPr>
          <w:rFonts w:ascii="黑体" w:hAnsi="黑体" w:eastAsia="黑体"/>
          <w:sz w:val="32"/>
        </w:rPr>
        <w:t>河南太龙药业股份有限公司</w:t>
      </w:r>
    </w:p>
    <w:p w14:paraId="51FE787C">
      <w:pPr>
        <w:jc w:val="center"/>
        <w:rPr>
          <w:rFonts w:ascii="黑体" w:hAnsi="黑体" w:eastAsia="黑体"/>
          <w:sz w:val="32"/>
        </w:rPr>
      </w:pPr>
      <w:r>
        <w:rPr>
          <w:rFonts w:ascii="黑体" w:hAnsi="黑体" w:eastAsia="黑体"/>
          <w:sz w:val="32"/>
        </w:rPr>
        <w:t>投资者关系活动记录表</w:t>
      </w:r>
    </w:p>
    <w:p w14:paraId="2EDAE1C9">
      <w:pPr>
        <w:jc w:val="center"/>
        <w:rPr>
          <w:rFonts w:ascii="黑体" w:hAnsi="黑体" w:eastAsia="黑体"/>
          <w:sz w:val="32"/>
        </w:rPr>
      </w:pPr>
      <w:r>
        <w:rPr>
          <w:rFonts w:ascii="黑体" w:hAnsi="黑体" w:eastAsia="黑体"/>
          <w:sz w:val="32"/>
        </w:rPr>
        <w:t>（</w:t>
      </w:r>
      <w:r>
        <w:rPr>
          <w:rFonts w:hint="eastAsia" w:ascii="黑体" w:hAnsi="黑体" w:eastAsia="黑体"/>
          <w:sz w:val="32"/>
        </w:rPr>
        <w:t>2</w:t>
      </w:r>
      <w:r>
        <w:rPr>
          <w:rFonts w:ascii="黑体" w:hAnsi="黑体" w:eastAsia="黑体"/>
          <w:sz w:val="32"/>
        </w:rPr>
        <w:t>02</w:t>
      </w:r>
      <w:r>
        <w:rPr>
          <w:rFonts w:hint="eastAsia" w:ascii="黑体" w:hAnsi="黑体" w:eastAsia="黑体"/>
          <w:sz w:val="32"/>
        </w:rPr>
        <w:t>6</w:t>
      </w:r>
      <w:r>
        <w:rPr>
          <w:rFonts w:ascii="黑体" w:hAnsi="黑体" w:eastAsia="黑体"/>
          <w:sz w:val="32"/>
        </w:rPr>
        <w:t>年</w:t>
      </w:r>
      <w:r>
        <w:rPr>
          <w:rFonts w:hint="eastAsia" w:ascii="黑体" w:hAnsi="黑体" w:eastAsia="黑体"/>
          <w:sz w:val="32"/>
        </w:rPr>
        <w:t>9月</w:t>
      </w:r>
      <w:r>
        <w:rPr>
          <w:rFonts w:ascii="黑体" w:hAnsi="黑体" w:eastAsia="黑体"/>
          <w:sz w:val="32"/>
        </w:rPr>
        <w:t>）</w:t>
      </w:r>
    </w:p>
    <w:p w14:paraId="61971809"/>
    <w:tbl>
      <w:tblPr>
        <w:tblStyle w:val="12"/>
        <w:tblW w:w="10349" w:type="dxa"/>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6"/>
        <w:gridCol w:w="8363"/>
      </w:tblGrid>
      <w:tr w14:paraId="746EE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6" w:hRule="atLeast"/>
        </w:trPr>
        <w:tc>
          <w:tcPr>
            <w:tcW w:w="1986" w:type="dxa"/>
            <w:vAlign w:val="center"/>
          </w:tcPr>
          <w:p w14:paraId="09A53B3B">
            <w:pPr>
              <w:jc w:val="center"/>
              <w:rPr>
                <w:sz w:val="28"/>
              </w:rPr>
            </w:pPr>
            <w:r>
              <w:rPr>
                <w:sz w:val="28"/>
              </w:rPr>
              <w:t>投资者关系</w:t>
            </w:r>
          </w:p>
          <w:p w14:paraId="7E3633DA">
            <w:pPr>
              <w:jc w:val="center"/>
              <w:rPr>
                <w:sz w:val="28"/>
              </w:rPr>
            </w:pPr>
            <w:r>
              <w:rPr>
                <w:sz w:val="28"/>
              </w:rPr>
              <w:t>活动类别</w:t>
            </w:r>
          </w:p>
        </w:tc>
        <w:tc>
          <w:tcPr>
            <w:tcW w:w="8363" w:type="dxa"/>
          </w:tcPr>
          <w:p w14:paraId="237BB954">
            <w:pPr>
              <w:pStyle w:val="17"/>
              <w:jc w:val="both"/>
              <w:rPr>
                <w:rFonts w:hAnsi="Times New Roman"/>
                <w:sz w:val="28"/>
              </w:rPr>
            </w:pPr>
            <w:r>
              <w:rPr>
                <w:rFonts w:hint="eastAsia" w:hAnsi="Times New Roman"/>
                <w:sz w:val="28"/>
              </w:rPr>
              <w:t xml:space="preserve">□特定对象调研     </w:t>
            </w:r>
            <w:r>
              <w:rPr>
                <w:rFonts w:hint="eastAsia" w:hAnsi="Times New Roman"/>
                <w:color w:val="auto"/>
                <w:sz w:val="28"/>
              </w:rPr>
              <w:t xml:space="preserve"> </w:t>
            </w:r>
            <w:r>
              <w:rPr>
                <w:rFonts w:hint="eastAsia" w:hAnsi="Times New Roman"/>
                <w:sz w:val="28"/>
              </w:rPr>
              <w:t>□分析师会议</w:t>
            </w:r>
          </w:p>
          <w:p w14:paraId="390FE71A">
            <w:pPr>
              <w:pStyle w:val="17"/>
              <w:jc w:val="both"/>
              <w:rPr>
                <w:rFonts w:hAnsi="Times New Roman"/>
                <w:sz w:val="28"/>
              </w:rPr>
            </w:pPr>
            <w:r>
              <w:rPr>
                <w:rFonts w:hint="eastAsia" w:hAnsi="Times New Roman"/>
                <w:sz w:val="28"/>
              </w:rPr>
              <w:t>☑媒体采访          ☑业绩说明会</w:t>
            </w:r>
          </w:p>
          <w:p w14:paraId="0F578CFC">
            <w:pPr>
              <w:pStyle w:val="17"/>
              <w:jc w:val="both"/>
              <w:rPr>
                <w:rFonts w:hAnsi="Times New Roman"/>
                <w:sz w:val="28"/>
              </w:rPr>
            </w:pPr>
            <w:r>
              <w:rPr>
                <w:rFonts w:hint="eastAsia" w:hAnsi="Times New Roman"/>
                <w:sz w:val="28"/>
              </w:rPr>
              <w:t>□新闻发布会        □路演活动</w:t>
            </w:r>
          </w:p>
          <w:p w14:paraId="3EC78576">
            <w:pPr>
              <w:pStyle w:val="17"/>
              <w:jc w:val="both"/>
              <w:rPr>
                <w:rFonts w:hAnsi="Times New Roman"/>
                <w:sz w:val="28"/>
              </w:rPr>
            </w:pPr>
            <w:r>
              <w:rPr>
                <w:rFonts w:hint="eastAsia" w:hAnsi="Times New Roman"/>
                <w:sz w:val="28"/>
              </w:rPr>
              <w:t>□现场参观          □</w:t>
            </w:r>
            <w:r>
              <w:rPr>
                <w:rFonts w:hint="eastAsia" w:hAnsi="宋体"/>
                <w:sz w:val="28"/>
              </w:rPr>
              <w:t>电话会议</w:t>
            </w:r>
          </w:p>
          <w:p w14:paraId="74717964">
            <w:pPr>
              <w:pStyle w:val="17"/>
              <w:jc w:val="both"/>
              <w:rPr>
                <w:rFonts w:hAnsi="Times New Roman"/>
                <w:sz w:val="28"/>
                <w:u w:val="single"/>
              </w:rPr>
            </w:pPr>
            <w:r>
              <w:rPr>
                <w:rFonts w:hint="eastAsia" w:ascii="Segoe UI Symbol" w:hAnsi="Segoe UI Symbol" w:cs="Segoe UI Symbol"/>
                <w:sz w:val="28"/>
              </w:rPr>
              <w:t>□</w:t>
            </w:r>
            <w:r>
              <w:rPr>
                <w:rFonts w:hint="eastAsia" w:hAnsi="Times New Roman"/>
                <w:sz w:val="28"/>
              </w:rPr>
              <w:t>其他</w:t>
            </w:r>
          </w:p>
        </w:tc>
      </w:tr>
      <w:tr w14:paraId="63462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vAlign w:val="center"/>
          </w:tcPr>
          <w:p w14:paraId="4AD84AD1">
            <w:pPr>
              <w:jc w:val="center"/>
              <w:rPr>
                <w:sz w:val="28"/>
              </w:rPr>
            </w:pPr>
            <w:r>
              <w:rPr>
                <w:sz w:val="28"/>
              </w:rPr>
              <w:t>会议时间</w:t>
            </w:r>
          </w:p>
        </w:tc>
        <w:tc>
          <w:tcPr>
            <w:tcW w:w="8363" w:type="dxa"/>
          </w:tcPr>
          <w:p w14:paraId="456CC9E9">
            <w:pPr>
              <w:rPr>
                <w:rFonts w:asciiTheme="minorEastAsia" w:hAnsiTheme="minorEastAsia"/>
                <w:sz w:val="28"/>
              </w:rPr>
            </w:pPr>
            <w:r>
              <w:rPr>
                <w:rFonts w:hint="eastAsia" w:asciiTheme="minorEastAsia" w:hAnsiTheme="minorEastAsia"/>
                <w:sz w:val="28"/>
              </w:rPr>
              <w:t>一、2026年9月9日上午11:00-12:00</w:t>
            </w:r>
          </w:p>
          <w:p w14:paraId="6355306D">
            <w:pPr>
              <w:rPr>
                <w:rFonts w:asciiTheme="minorEastAsia" w:hAnsiTheme="minorEastAsia"/>
                <w:sz w:val="28"/>
              </w:rPr>
            </w:pPr>
            <w:r>
              <w:rPr>
                <w:rFonts w:hint="eastAsia" w:asciiTheme="minorEastAsia" w:hAnsiTheme="minorEastAsia"/>
                <w:sz w:val="28"/>
              </w:rPr>
              <w:t>二、2026年9月</w:t>
            </w:r>
            <w:r>
              <w:rPr>
                <w:rFonts w:asciiTheme="minorEastAsia" w:hAnsiTheme="minorEastAsia"/>
                <w:sz w:val="28"/>
              </w:rPr>
              <w:t>2</w:t>
            </w:r>
            <w:r>
              <w:rPr>
                <w:rFonts w:hint="eastAsia" w:asciiTheme="minorEastAsia" w:hAnsiTheme="minorEastAsia"/>
                <w:sz w:val="28"/>
              </w:rPr>
              <w:t>日下午14:00-16:30</w:t>
            </w:r>
          </w:p>
        </w:tc>
      </w:tr>
      <w:tr w14:paraId="157D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1986" w:type="dxa"/>
            <w:vAlign w:val="center"/>
          </w:tcPr>
          <w:p w14:paraId="4762D3C2">
            <w:pPr>
              <w:jc w:val="center"/>
              <w:rPr>
                <w:sz w:val="28"/>
              </w:rPr>
            </w:pPr>
            <w:r>
              <w:rPr>
                <w:sz w:val="28"/>
              </w:rPr>
              <w:t>会议地点</w:t>
            </w:r>
          </w:p>
        </w:tc>
        <w:tc>
          <w:tcPr>
            <w:tcW w:w="8363" w:type="dxa"/>
            <w:vAlign w:val="center"/>
          </w:tcPr>
          <w:p w14:paraId="14B1158E">
            <w:pPr>
              <w:widowControl/>
              <w:wordWrap w:val="0"/>
              <w:jc w:val="left"/>
              <w:rPr>
                <w:rFonts w:asciiTheme="minorEastAsia" w:hAnsiTheme="minorEastAsia"/>
                <w:sz w:val="28"/>
              </w:rPr>
            </w:pPr>
            <w:r>
              <w:rPr>
                <w:rFonts w:hint="eastAsia" w:asciiTheme="minorEastAsia" w:hAnsiTheme="minorEastAsia"/>
                <w:sz w:val="28"/>
              </w:rPr>
              <w:t>一、上海证券交易所上证路演中心</w:t>
            </w:r>
            <w:r>
              <w:fldChar w:fldCharType="begin"/>
            </w:r>
            <w:r>
              <w:instrText xml:space="preserve"> HYPERLINK "https://roadshow.sseinfo.com/" </w:instrText>
            </w:r>
            <w:r>
              <w:fldChar w:fldCharType="separate"/>
            </w:r>
            <w:r>
              <w:rPr>
                <w:rStyle w:val="15"/>
                <w:rFonts w:hint="eastAsia" w:asciiTheme="minorEastAsia" w:hAnsiTheme="minorEastAsia"/>
                <w:sz w:val="28"/>
              </w:rPr>
              <w:t>https://roadshow.sseinfo.com/</w:t>
            </w:r>
            <w:r>
              <w:rPr>
                <w:rStyle w:val="15"/>
                <w:rFonts w:hint="eastAsia" w:asciiTheme="minorEastAsia" w:hAnsiTheme="minorEastAsia"/>
                <w:sz w:val="28"/>
              </w:rPr>
              <w:fldChar w:fldCharType="end"/>
            </w:r>
          </w:p>
          <w:p w14:paraId="7B16938C">
            <w:pPr>
              <w:widowControl/>
              <w:wordWrap w:val="0"/>
              <w:jc w:val="left"/>
              <w:rPr>
                <w:rFonts w:asciiTheme="minorEastAsia" w:hAnsiTheme="minorEastAsia"/>
                <w:sz w:val="28"/>
              </w:rPr>
            </w:pPr>
            <w:r>
              <w:rPr>
                <w:rFonts w:hint="eastAsia" w:asciiTheme="minorEastAsia" w:hAnsiTheme="minorEastAsia"/>
                <w:sz w:val="28"/>
              </w:rPr>
              <w:t>二、上海市黄浦区锦江饭店</w:t>
            </w:r>
          </w:p>
        </w:tc>
      </w:tr>
      <w:tr w14:paraId="68215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vAlign w:val="center"/>
          </w:tcPr>
          <w:p w14:paraId="51B43578">
            <w:pPr>
              <w:jc w:val="center"/>
              <w:rPr>
                <w:sz w:val="28"/>
              </w:rPr>
            </w:pPr>
            <w:r>
              <w:rPr>
                <w:sz w:val="28"/>
              </w:rPr>
              <w:t>参与单位名称或人员姓名</w:t>
            </w:r>
          </w:p>
        </w:tc>
        <w:tc>
          <w:tcPr>
            <w:tcW w:w="8363" w:type="dxa"/>
            <w:vAlign w:val="center"/>
          </w:tcPr>
          <w:p w14:paraId="0B7D0CC4">
            <w:pPr>
              <w:ind w:left="280" w:hanging="280" w:hangingChars="100"/>
              <w:rPr>
                <w:rFonts w:asciiTheme="minorEastAsia" w:hAnsiTheme="minorEastAsia"/>
                <w:sz w:val="28"/>
                <w:szCs w:val="24"/>
              </w:rPr>
            </w:pPr>
            <w:r>
              <w:rPr>
                <w:rFonts w:hint="eastAsia" w:asciiTheme="minorEastAsia" w:hAnsiTheme="minorEastAsia"/>
                <w:sz w:val="28"/>
                <w:szCs w:val="24"/>
              </w:rPr>
              <w:t>一、线上参与公司2026年半年度业绩说明会的广大投资者</w:t>
            </w:r>
          </w:p>
          <w:p w14:paraId="705C137C">
            <w:pPr>
              <w:rPr>
                <w:rFonts w:asciiTheme="minorEastAsia" w:hAnsiTheme="minorEastAsia"/>
                <w:sz w:val="28"/>
                <w:szCs w:val="24"/>
              </w:rPr>
            </w:pPr>
            <w:r>
              <w:rPr>
                <w:rFonts w:hint="eastAsia" w:asciiTheme="minorEastAsia" w:hAnsiTheme="minorEastAsia"/>
                <w:sz w:val="28"/>
                <w:szCs w:val="24"/>
              </w:rPr>
              <w:t xml:space="preserve">二、上海证券报      </w:t>
            </w:r>
          </w:p>
        </w:tc>
      </w:tr>
      <w:tr w14:paraId="4867E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atLeast"/>
        </w:trPr>
        <w:tc>
          <w:tcPr>
            <w:tcW w:w="1986" w:type="dxa"/>
            <w:vAlign w:val="center"/>
          </w:tcPr>
          <w:p w14:paraId="2C9DD5D5">
            <w:pPr>
              <w:jc w:val="center"/>
              <w:rPr>
                <w:sz w:val="28"/>
              </w:rPr>
            </w:pPr>
            <w:r>
              <w:rPr>
                <w:sz w:val="28"/>
              </w:rPr>
              <w:t>上市公司</w:t>
            </w:r>
          </w:p>
          <w:p w14:paraId="6EDBC833">
            <w:pPr>
              <w:jc w:val="center"/>
              <w:rPr>
                <w:sz w:val="28"/>
              </w:rPr>
            </w:pPr>
            <w:r>
              <w:rPr>
                <w:sz w:val="28"/>
              </w:rPr>
              <w:t>接待人员</w:t>
            </w:r>
          </w:p>
        </w:tc>
        <w:tc>
          <w:tcPr>
            <w:tcW w:w="8363" w:type="dxa"/>
            <w:vAlign w:val="center"/>
          </w:tcPr>
          <w:p w14:paraId="0B87C025">
            <w:pPr>
              <w:pStyle w:val="17"/>
              <w:tabs>
                <w:tab w:val="left" w:pos="675"/>
              </w:tabs>
              <w:spacing w:line="312" w:lineRule="auto"/>
              <w:jc w:val="both"/>
              <w:rPr>
                <w:rFonts w:asciiTheme="minorEastAsia" w:hAnsiTheme="minorEastAsia"/>
                <w:sz w:val="28"/>
                <w:szCs w:val="28"/>
              </w:rPr>
            </w:pPr>
            <w:r>
              <w:rPr>
                <w:rFonts w:hint="eastAsia" w:asciiTheme="minorEastAsia" w:hAnsiTheme="minorEastAsia"/>
                <w:sz w:val="28"/>
                <w:szCs w:val="28"/>
              </w:rPr>
              <w:t xml:space="preserve">一、公司参加2026年半年度业绩说明会的主要人员如下： </w:t>
            </w:r>
          </w:p>
          <w:p w14:paraId="2FDE14C9">
            <w:pPr>
              <w:pStyle w:val="17"/>
              <w:tabs>
                <w:tab w:val="left" w:pos="675"/>
              </w:tabs>
              <w:spacing w:line="312" w:lineRule="auto"/>
              <w:jc w:val="both"/>
              <w:rPr>
                <w:rFonts w:asciiTheme="minorEastAsia" w:hAnsiTheme="minorEastAsia"/>
                <w:sz w:val="28"/>
                <w:szCs w:val="28"/>
              </w:rPr>
            </w:pPr>
            <w:r>
              <w:rPr>
                <w:rFonts w:hint="eastAsia" w:asciiTheme="minorEastAsia" w:hAnsiTheme="minorEastAsia"/>
                <w:sz w:val="28"/>
                <w:szCs w:val="28"/>
              </w:rPr>
              <w:t xml:space="preserve">董事长陈四良   独立董事方亮   财务负责人赵海林 </w:t>
            </w:r>
          </w:p>
          <w:p w14:paraId="0B05F3AC">
            <w:pPr>
              <w:pStyle w:val="17"/>
              <w:tabs>
                <w:tab w:val="left" w:pos="675"/>
              </w:tabs>
              <w:spacing w:line="312" w:lineRule="auto"/>
              <w:jc w:val="both"/>
              <w:rPr>
                <w:rFonts w:asciiTheme="minorEastAsia" w:hAnsiTheme="minorEastAsia"/>
                <w:sz w:val="28"/>
                <w:szCs w:val="28"/>
              </w:rPr>
            </w:pPr>
            <w:r>
              <w:rPr>
                <w:rFonts w:hint="eastAsia" w:asciiTheme="minorEastAsia" w:hAnsiTheme="minorEastAsia"/>
                <w:sz w:val="28"/>
                <w:szCs w:val="28"/>
              </w:rPr>
              <w:t>董事会秘书李念云</w:t>
            </w:r>
          </w:p>
          <w:p w14:paraId="1D088700">
            <w:pPr>
              <w:pStyle w:val="17"/>
              <w:tabs>
                <w:tab w:val="left" w:pos="675"/>
              </w:tabs>
              <w:spacing w:line="312" w:lineRule="auto"/>
              <w:jc w:val="both"/>
              <w:rPr>
                <w:rFonts w:asciiTheme="minorEastAsia" w:hAnsiTheme="minorEastAsia"/>
                <w:sz w:val="28"/>
                <w:szCs w:val="28"/>
              </w:rPr>
            </w:pPr>
            <w:r>
              <w:rPr>
                <w:rFonts w:hint="eastAsia" w:asciiTheme="minorEastAsia" w:hAnsiTheme="minorEastAsia"/>
                <w:sz w:val="28"/>
                <w:szCs w:val="28"/>
              </w:rPr>
              <w:t>二、公司接待人员如下：</w:t>
            </w:r>
          </w:p>
          <w:p w14:paraId="4CF62F13">
            <w:pPr>
              <w:pStyle w:val="17"/>
              <w:tabs>
                <w:tab w:val="left" w:pos="675"/>
              </w:tabs>
              <w:spacing w:line="312" w:lineRule="auto"/>
              <w:jc w:val="both"/>
              <w:rPr>
                <w:rFonts w:asciiTheme="minorEastAsia" w:hAnsiTheme="minorEastAsia"/>
                <w:sz w:val="28"/>
                <w:szCs w:val="28"/>
              </w:rPr>
            </w:pPr>
            <w:r>
              <w:rPr>
                <w:rFonts w:hint="eastAsia" w:asciiTheme="minorEastAsia" w:hAnsiTheme="minorEastAsia"/>
                <w:sz w:val="28"/>
                <w:szCs w:val="28"/>
              </w:rPr>
              <w:t>董事罗剑超   投资者关系管理专员吉思凡</w:t>
            </w:r>
          </w:p>
        </w:tc>
      </w:tr>
      <w:tr w14:paraId="5D3A6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1986" w:type="dxa"/>
            <w:vAlign w:val="center"/>
          </w:tcPr>
          <w:p w14:paraId="567A8B3A">
            <w:pPr>
              <w:jc w:val="center"/>
              <w:rPr>
                <w:sz w:val="28"/>
              </w:rPr>
            </w:pPr>
            <w:r>
              <w:rPr>
                <w:sz w:val="28"/>
              </w:rPr>
              <w:t>投资者关系</w:t>
            </w:r>
          </w:p>
          <w:p w14:paraId="0F2E2645">
            <w:pPr>
              <w:jc w:val="center"/>
              <w:rPr>
                <w:sz w:val="28"/>
              </w:rPr>
            </w:pPr>
            <w:r>
              <w:rPr>
                <w:sz w:val="28"/>
              </w:rPr>
              <w:t>活动主要内容</w:t>
            </w:r>
          </w:p>
        </w:tc>
        <w:tc>
          <w:tcPr>
            <w:tcW w:w="8363" w:type="dxa"/>
          </w:tcPr>
          <w:p w14:paraId="7E4CDD78">
            <w:pPr>
              <w:ind w:firstLine="562" w:firstLineChars="200"/>
              <w:rPr>
                <w:rFonts w:asciiTheme="minorEastAsia" w:hAnsiTheme="minorEastAsia"/>
                <w:b/>
                <w:sz w:val="28"/>
                <w:szCs w:val="24"/>
              </w:rPr>
            </w:pPr>
            <w:r>
              <w:rPr>
                <w:rFonts w:hint="eastAsia" w:asciiTheme="minorEastAsia" w:hAnsiTheme="minorEastAsia"/>
                <w:b/>
                <w:sz w:val="28"/>
                <w:szCs w:val="24"/>
              </w:rPr>
              <w:t>一、公司2026年半年度业绩说明会主要交流内容如下：</w:t>
            </w:r>
          </w:p>
          <w:p w14:paraId="1AA558F5">
            <w:pPr>
              <w:ind w:firstLine="562" w:firstLineChars="200"/>
              <w:rPr>
                <w:rFonts w:asciiTheme="minorEastAsia" w:hAnsiTheme="minorEastAsia" w:eastAsiaTheme="minorEastAsia" w:cstheme="minorBidi"/>
                <w:b/>
                <w:bCs/>
                <w:sz w:val="28"/>
                <w:szCs w:val="24"/>
              </w:rPr>
            </w:pPr>
            <w:r>
              <w:rPr>
                <w:rFonts w:hint="eastAsia" w:asciiTheme="minorEastAsia" w:hAnsiTheme="minorEastAsia" w:eastAsiaTheme="minorEastAsia" w:cstheme="minorBidi"/>
                <w:b/>
                <w:bCs/>
                <w:sz w:val="28"/>
                <w:szCs w:val="24"/>
              </w:rPr>
              <w:t>1、医疗行业都在集采，公司在销售方面有哪些改变吗?</w:t>
            </w:r>
          </w:p>
          <w:p w14:paraId="3FA7EAC8">
            <w:pPr>
              <w:ind w:firstLine="560" w:firstLineChars="200"/>
              <w:rPr>
                <w:rFonts w:asciiTheme="minorEastAsia" w:hAnsiTheme="minorEastAsia" w:eastAsiaTheme="minorEastAsia" w:cstheme="minorBidi"/>
                <w:sz w:val="28"/>
                <w:szCs w:val="24"/>
              </w:rPr>
            </w:pPr>
            <w:r>
              <w:rPr>
                <w:rFonts w:hint="eastAsia" w:asciiTheme="minorEastAsia" w:hAnsiTheme="minorEastAsia" w:eastAsiaTheme="minorEastAsia" w:cstheme="minorBidi"/>
                <w:sz w:val="28"/>
                <w:szCs w:val="24"/>
              </w:rPr>
              <w:t>答：尊敬的投资者您好，面对集采执标后价格空间收窄的压力，2026年上半年公司药品制剂业务主要推进了以下举措：一是完成销售体系从“管控型总部”向“赋能型总部”转型，组建一体化营销中台，统筹发货、回款及渠道管理，持续强化价格体系监测与维护；二是加速OTC产品线院外市场渗透，以金银花露、加味藿香正气合剂、五子衍宗口服液、生脉饮等潜力品种为抓手，按梯次推进上述品种及板蓝根糖浆的市场覆盖，聚力培育新品增长点；三是加强常态化合规培训与学术推广规范管理，聚焦终端动销、新市场开发及重点产品增长率；四是加大品宣与公益推广力度，通过“藿香护考·金榜有露”、“酷暑送清凉”等活动提升品牌认知度；五是丰富大健康产品矩阵，加快“中药+”“药食同源”产品的开发以及市场渗透，积极探索直播新媒体等营销模式推动线上线下联动。后续公司将根据行业政策及市场环境变化紧扣经营目标，统筹推进稳经营、拓市场、提效能等各项工作。感谢您的关注！</w:t>
            </w:r>
          </w:p>
          <w:p w14:paraId="3D1A08EE">
            <w:pPr>
              <w:ind w:firstLine="562" w:firstLineChars="200"/>
              <w:rPr>
                <w:rFonts w:asciiTheme="minorEastAsia" w:hAnsiTheme="minorEastAsia" w:eastAsiaTheme="minorEastAsia" w:cstheme="minorBidi"/>
                <w:b/>
                <w:bCs/>
                <w:sz w:val="28"/>
                <w:szCs w:val="24"/>
              </w:rPr>
            </w:pPr>
            <w:r>
              <w:rPr>
                <w:rFonts w:hint="eastAsia" w:asciiTheme="minorEastAsia" w:hAnsiTheme="minorEastAsia" w:eastAsiaTheme="minorEastAsia" w:cstheme="minorBidi"/>
                <w:b/>
                <w:bCs/>
                <w:sz w:val="28"/>
                <w:szCs w:val="24"/>
              </w:rPr>
              <w:t>2、请问国资批复怎么这么久，还要多久才会有结果？另外和江西有没更深度合作</w:t>
            </w:r>
          </w:p>
          <w:p w14:paraId="49A9F7B4">
            <w:pPr>
              <w:ind w:firstLine="560" w:firstLineChars="200"/>
              <w:rPr>
                <w:rFonts w:asciiTheme="minorEastAsia" w:hAnsiTheme="minorEastAsia" w:eastAsiaTheme="minorEastAsia" w:cstheme="minorBidi"/>
                <w:sz w:val="28"/>
                <w:szCs w:val="24"/>
              </w:rPr>
            </w:pPr>
            <w:r>
              <w:rPr>
                <w:rFonts w:hint="eastAsia" w:asciiTheme="minorEastAsia" w:hAnsiTheme="minorEastAsia" w:eastAsiaTheme="minorEastAsia" w:cstheme="minorBidi"/>
                <w:sz w:val="28"/>
                <w:szCs w:val="24"/>
              </w:rPr>
              <w:t>答：尊敬的投资者您好，相关事项已于2026年2月取得国家市场监督管理总局出具的《经营者集中反垄断审查不实施进一步审查决定书》。截至目前，公司控制权变更相关事项处于有权国资主管部门审批阶段；公司将持续密切关注事项进展情况，严格按照相关法律法规及监管要求，及时履行信息披露义务。上述事项能否取得批准或核准以及最终取得批准或核准的时间均存在不确定性，敬请广大投资者理性投资，注意投资风险。 江药集团及其控制的企业主营业务为医药流通、现代智能物流、第三方委托配送、互联网+医药以及中医药大健康等领域，可在商业、零售等方面赋能上市公司产业资源，支持公司进一步提升现有优势产品的渠道渗透率，并激活其他非优势产品的产能及销售。目前，公司药品制剂业务与江药集团及其控制的下属子公司保持正常的日常业务往来。感谢您的关注！（风险提示：公司的产品销售规划能否实现取决于市场状况、经营环境、行业政策等多种因素，存在较大不确定性，部分前瞻性描述不代表公司对2026年度的盈利预测及对投资者的业绩承诺，请投资者对此保持足够的风险意识，并注意投资风险。）</w:t>
            </w:r>
          </w:p>
          <w:p w14:paraId="267BB826">
            <w:pPr>
              <w:ind w:firstLine="562" w:firstLineChars="200"/>
              <w:rPr>
                <w:rFonts w:asciiTheme="minorEastAsia" w:hAnsiTheme="minorEastAsia" w:eastAsiaTheme="minorEastAsia" w:cstheme="minorBidi"/>
                <w:b/>
                <w:bCs/>
                <w:sz w:val="28"/>
                <w:szCs w:val="24"/>
              </w:rPr>
            </w:pPr>
            <w:r>
              <w:rPr>
                <w:rFonts w:hint="eastAsia" w:asciiTheme="minorEastAsia" w:hAnsiTheme="minorEastAsia" w:eastAsiaTheme="minorEastAsia" w:cstheme="minorBidi"/>
                <w:b/>
                <w:bCs/>
                <w:sz w:val="28"/>
                <w:szCs w:val="24"/>
              </w:rPr>
              <w:t>3、公司中药饮片业务2026年上半年实现营收和毛利双增，主要的增长原因是什么？</w:t>
            </w:r>
          </w:p>
          <w:p w14:paraId="7A3539F9">
            <w:pPr>
              <w:ind w:firstLine="560" w:firstLineChars="200"/>
              <w:rPr>
                <w:rFonts w:asciiTheme="minorEastAsia" w:hAnsiTheme="minorEastAsia" w:eastAsiaTheme="minorEastAsia" w:cstheme="minorBidi"/>
                <w:sz w:val="28"/>
                <w:szCs w:val="24"/>
              </w:rPr>
            </w:pPr>
            <w:r>
              <w:rPr>
                <w:rFonts w:hint="eastAsia" w:asciiTheme="minorEastAsia" w:hAnsiTheme="minorEastAsia" w:eastAsiaTheme="minorEastAsia" w:cstheme="minorBidi"/>
                <w:sz w:val="28"/>
                <w:szCs w:val="24"/>
              </w:rPr>
              <w:t>答：尊敬的投资者您好，2026年上半年，公司中药饮片业务强化供应链管控、积极拓展增量优质客户：一方面公司稳步推进重点客户和中药饮片联盟集中采购投标工作，夯实医疗终端份额；另一方面公司依据原材料市场行情变化，加大采购招标比例与战略储备力度，同时持续深化标准化种植推广、长期签约锁价及供应链合作等常态化成本管控举措，采购成本进一步得到有效控制，实现营业收入39,784.49万元，毛利率为18.89%，较上年同期上升3.59%。感谢您的关注！</w:t>
            </w:r>
          </w:p>
          <w:p w14:paraId="57738C9B">
            <w:pPr>
              <w:ind w:firstLine="562" w:firstLineChars="200"/>
              <w:rPr>
                <w:rFonts w:asciiTheme="minorEastAsia" w:hAnsiTheme="minorEastAsia" w:eastAsiaTheme="minorEastAsia" w:cstheme="minorBidi"/>
                <w:b/>
                <w:bCs/>
                <w:sz w:val="28"/>
                <w:szCs w:val="24"/>
              </w:rPr>
            </w:pPr>
            <w:r>
              <w:rPr>
                <w:rFonts w:hint="eastAsia" w:asciiTheme="minorEastAsia" w:hAnsiTheme="minorEastAsia" w:eastAsiaTheme="minorEastAsia" w:cstheme="minorBidi"/>
                <w:b/>
                <w:bCs/>
                <w:sz w:val="28"/>
                <w:szCs w:val="24"/>
              </w:rPr>
              <w:t>4、半年度利润怎么下滑了?</w:t>
            </w:r>
          </w:p>
          <w:p w14:paraId="683DA867">
            <w:pPr>
              <w:ind w:firstLine="560" w:firstLineChars="200"/>
              <w:rPr>
                <w:rFonts w:asciiTheme="minorEastAsia" w:hAnsiTheme="minorEastAsia" w:eastAsiaTheme="minorEastAsia" w:cstheme="minorBidi"/>
                <w:sz w:val="28"/>
                <w:szCs w:val="24"/>
              </w:rPr>
            </w:pPr>
            <w:r>
              <w:rPr>
                <w:rFonts w:hint="eastAsia" w:asciiTheme="minorEastAsia" w:hAnsiTheme="minorEastAsia" w:eastAsiaTheme="minorEastAsia" w:cstheme="minorBidi"/>
                <w:sz w:val="28"/>
                <w:szCs w:val="24"/>
              </w:rPr>
              <w:t>答：尊敬的投资者您好，2026年上半年，药品价格治理纵深推进、医保控费基调延续、零售终端格局加速重构、行业监管标准持续升级。公司药品制剂业务受主要产品集采执标后价格空间收窄、产品销售结构相应发生变动及终端动销受影响后阶段性放缓等因素影响，销售收入及毛利额较上年同期均有所下降；中药饮片业务则通过强化供应链管控、积极拓展增量优质客户，实现销售收入及毛利额同比增长；药品研发服务业务因市场竞争加剧、订单单价下行、药品研制管理要求及受理审查标准细化以致项目各节点工作量增加，收入转化周期延长，收入及毛利额均承压下滑。综合各板块表现，本期公司整体销售收入同比略有下降，因毛利率相对较低的中药饮片业务收入占比提升，综合毛利率较上年同期有所降低，导致利润总额、归属于上市公司股东的净利润同比下降。感谢您的关注！</w:t>
            </w:r>
          </w:p>
          <w:p w14:paraId="424B413E">
            <w:pPr>
              <w:ind w:firstLine="562" w:firstLineChars="200"/>
              <w:rPr>
                <w:rFonts w:asciiTheme="minorEastAsia" w:hAnsiTheme="minorEastAsia" w:eastAsiaTheme="minorEastAsia" w:cstheme="minorBidi"/>
                <w:b/>
                <w:bCs/>
                <w:sz w:val="28"/>
                <w:szCs w:val="24"/>
              </w:rPr>
            </w:pPr>
            <w:r>
              <w:rPr>
                <w:rFonts w:hint="eastAsia" w:asciiTheme="minorEastAsia" w:hAnsiTheme="minorEastAsia" w:eastAsiaTheme="minorEastAsia" w:cstheme="minorBidi"/>
                <w:b/>
                <w:bCs/>
                <w:sz w:val="28"/>
                <w:szCs w:val="24"/>
              </w:rPr>
              <w:t>5、回购股份注销怎么样了?</w:t>
            </w:r>
          </w:p>
          <w:p w14:paraId="342F13A7">
            <w:pPr>
              <w:ind w:firstLine="560" w:firstLineChars="200"/>
              <w:rPr>
                <w:rFonts w:asciiTheme="minorEastAsia" w:hAnsiTheme="minorEastAsia" w:eastAsiaTheme="minorEastAsia" w:cstheme="minorBidi"/>
                <w:sz w:val="28"/>
                <w:szCs w:val="24"/>
              </w:rPr>
            </w:pPr>
            <w:r>
              <w:rPr>
                <w:rFonts w:hint="eastAsia" w:asciiTheme="minorEastAsia" w:hAnsiTheme="minorEastAsia" w:eastAsiaTheme="minorEastAsia" w:cstheme="minorBidi"/>
                <w:sz w:val="28"/>
                <w:szCs w:val="24"/>
              </w:rPr>
              <w:t>答：尊敬的投资者您好，公司分别于2026年4月30日、2026年5月21日召开第十届董事会第九次会议和2025年年度股东会，审议通过了《关于终止实施公司第四期员工持股计划、变更回购股份用途并注销股票的议案》和《关于减少注册资本及修订&lt;公司章程&gt;的议案》，同意公司终止实施第四期员工持股计划，将回购专用证券账户中于2022年8月3日至2023年7月13日期间回购的14,523,100股股份用途由“用于实施员工持股计划或股权激励”变更为“用于注销并减少公司注册资本”，并对该部分股份进行注销。2026年7月7日，公司在中国证券登记结算有限责任公司上海分公司办理完毕回购专用证券账户中14,523,100股股份的注销事宜。公司总股本由573,886,283股变更为559,363,183股，注册资本由573,886,283元变更为559,363,183元。2026年7月13日，公司完成注册资本工商变更登记手续。具体内容详见公司在上海证券交易所网站（www.sse.com.cn）发布的相关公告。感谢您的关注！</w:t>
            </w:r>
          </w:p>
          <w:p w14:paraId="3CAD7F39">
            <w:pPr>
              <w:ind w:firstLine="562" w:firstLineChars="200"/>
              <w:rPr>
                <w:rFonts w:asciiTheme="minorEastAsia" w:hAnsiTheme="minorEastAsia" w:eastAsiaTheme="minorEastAsia" w:cstheme="minorBidi"/>
                <w:b/>
                <w:bCs/>
                <w:sz w:val="28"/>
                <w:szCs w:val="24"/>
              </w:rPr>
            </w:pPr>
            <w:r>
              <w:rPr>
                <w:rFonts w:hint="eastAsia" w:asciiTheme="minorEastAsia" w:hAnsiTheme="minorEastAsia" w:eastAsiaTheme="minorEastAsia" w:cstheme="minorBidi"/>
                <w:b/>
                <w:bCs/>
                <w:sz w:val="28"/>
                <w:szCs w:val="24"/>
              </w:rPr>
              <w:t>6、在当前行业变革与市场竞争加剧的情况下，公司是否有拓展新赛道的规划?</w:t>
            </w:r>
          </w:p>
          <w:p w14:paraId="2266C061">
            <w:pPr>
              <w:ind w:firstLine="560" w:firstLineChars="200"/>
              <w:rPr>
                <w:rFonts w:asciiTheme="minorEastAsia" w:hAnsiTheme="minorEastAsia" w:eastAsiaTheme="minorEastAsia" w:cstheme="minorBidi"/>
                <w:sz w:val="28"/>
                <w:szCs w:val="24"/>
              </w:rPr>
            </w:pPr>
            <w:r>
              <w:rPr>
                <w:rFonts w:hint="eastAsia" w:asciiTheme="minorEastAsia" w:hAnsiTheme="minorEastAsia" w:eastAsiaTheme="minorEastAsia" w:cstheme="minorBidi"/>
                <w:sz w:val="28"/>
                <w:szCs w:val="24"/>
              </w:rPr>
              <w:t>答：尊敬的投资者您好！公司所处行业为“医药制造业”，将始终聚焦医药大健康产业主线，持续推动业务发展与转型升级，积极拓展大健康领域。公司将持续激活“桐君传统中药文化”国家非物质文化遗产及“中华老字号”品牌势能，加大“桐君堂”“药祖桐君”IP的宣传推广力度，不断丰富产品矩阵，充分发挥中药“治未病”优势，强化“中药+”及“药食同源”等大健康产品的开发与市场布局，加速日化、消费类及高附加值营养品的产品化进程，丰富产品组合储备，紧抓现代健康消费升级及银发经济带来的中医药市场新机遇。2026年上半年，米炒黄芪、冻干墨红玫瑰、冬虫夏草、参苓雪梨汤、化橘红梨膏等新品已实现上市推广。同时，公司通过专业合作方构建新媒体传播矩阵，聚焦线上渠道推广运营，扩大公司品牌及子品牌在C端市场的认知度，打造线上线下融合的增长新引擎。但其市场培育及商业转化需要一定周期，当前阶段暂未对公司业绩产生重大影响，若后续公司有重大新业务布局，将及时履行信息披露义务，敬请广大投资者理性投资，注意投资风险。感谢您的关注！</w:t>
            </w:r>
          </w:p>
          <w:p w14:paraId="26EFD614">
            <w:pPr>
              <w:ind w:firstLine="562" w:firstLineChars="200"/>
              <w:rPr>
                <w:rFonts w:hint="eastAsia" w:asciiTheme="minorEastAsia" w:hAnsiTheme="minorEastAsia" w:eastAsiaTheme="minorEastAsia" w:cstheme="minorBidi"/>
                <w:b/>
                <w:bCs/>
                <w:sz w:val="28"/>
                <w:szCs w:val="24"/>
              </w:rPr>
            </w:pPr>
          </w:p>
          <w:p w14:paraId="3915244E">
            <w:pPr>
              <w:ind w:firstLine="562" w:firstLineChars="200"/>
              <w:rPr>
                <w:rFonts w:asciiTheme="minorEastAsia" w:hAnsiTheme="minorEastAsia" w:eastAsiaTheme="minorEastAsia" w:cstheme="minorBidi"/>
                <w:b/>
                <w:bCs/>
                <w:sz w:val="28"/>
                <w:szCs w:val="24"/>
                <w:highlight w:val="yellow"/>
              </w:rPr>
            </w:pPr>
            <w:r>
              <w:rPr>
                <w:rFonts w:hint="eastAsia" w:asciiTheme="minorEastAsia" w:hAnsiTheme="minorEastAsia" w:eastAsiaTheme="minorEastAsia" w:cstheme="minorBidi"/>
                <w:b/>
                <w:bCs/>
                <w:sz w:val="28"/>
                <w:szCs w:val="24"/>
              </w:rPr>
              <w:t>二、除前期已披露的投资者关系活动内容外，与媒体新增交流内容如下：</w:t>
            </w:r>
          </w:p>
          <w:p w14:paraId="7C49E89D">
            <w:pPr>
              <w:ind w:firstLine="562" w:firstLineChars="200"/>
              <w:rPr>
                <w:rFonts w:asciiTheme="minorEastAsia" w:hAnsiTheme="minorEastAsia" w:eastAsiaTheme="minorEastAsia" w:cstheme="minorBidi"/>
                <w:b/>
                <w:bCs/>
                <w:sz w:val="28"/>
                <w:szCs w:val="24"/>
              </w:rPr>
            </w:pPr>
            <w:r>
              <w:rPr>
                <w:rFonts w:hint="eastAsia" w:asciiTheme="minorEastAsia" w:hAnsiTheme="minorEastAsia" w:eastAsiaTheme="minorEastAsia" w:cstheme="minorBidi"/>
                <w:b/>
                <w:bCs/>
                <w:sz w:val="28"/>
                <w:szCs w:val="24"/>
              </w:rPr>
              <w:t>1、药品制剂业务作为公司核心业务之一，未来在研发创新方面有何规划？</w:t>
            </w:r>
          </w:p>
          <w:p w14:paraId="3068D8DC">
            <w:pPr>
              <w:ind w:firstLine="560" w:firstLineChars="200"/>
              <w:rPr>
                <w:rFonts w:asciiTheme="minorEastAsia" w:hAnsiTheme="minorEastAsia" w:eastAsiaTheme="minorEastAsia" w:cstheme="minorBidi"/>
                <w:sz w:val="28"/>
                <w:szCs w:val="24"/>
              </w:rPr>
            </w:pPr>
            <w:r>
              <w:rPr>
                <w:rFonts w:hint="eastAsia" w:asciiTheme="minorEastAsia" w:hAnsiTheme="minorEastAsia" w:eastAsiaTheme="minorEastAsia" w:cstheme="minorBidi"/>
                <w:sz w:val="28"/>
                <w:szCs w:val="24"/>
              </w:rPr>
              <w:t>答：公司药品制剂业务研发围绕丰富产品线、适应症拓展、工艺优化、质量提升展开，涵盖经典名方、同名同方、现有产品二次开发（如增加适应症）及中药材标准化研究，目前多个在研项目按计划推进。一是以市场和临床需求为导向，发挥终端渠道、品牌积淀及市场团队优势，灵活运用批文转让、品种购买或合作等方式</w:t>
            </w:r>
            <w:bookmarkStart w:id="0" w:name="_GoBack"/>
            <w:bookmarkEnd w:id="0"/>
            <w:r>
              <w:rPr>
                <w:rFonts w:hint="eastAsia" w:asciiTheme="minorEastAsia" w:hAnsiTheme="minorEastAsia" w:eastAsiaTheme="minorEastAsia" w:cstheme="minorBidi"/>
                <w:sz w:val="28"/>
                <w:szCs w:val="24"/>
              </w:rPr>
              <w:t>丰富产品矩阵，培育增长点；二是以中药现代化为导向，推进现有品种工艺改造，生产端提升自动化与智能化水平，标准端积极参与行业标准制修订，同时加强中药质量全过程追溯体系建设，打通种植、加工、生产、流通全链条链路，确保来源可查、去向可追、责任可究，以技术赋能与标准提升持续保障产品安全性、有效性和可控性，构筑品质壁垒与市场竞争优势</w:t>
            </w:r>
            <w:r>
              <w:rPr>
                <w:rFonts w:hint="eastAsia" w:asciiTheme="minorEastAsia" w:hAnsiTheme="minorEastAsia" w:eastAsiaTheme="minorEastAsia" w:cstheme="minorBidi"/>
                <w:sz w:val="28"/>
                <w:szCs w:val="24"/>
                <w:lang w:eastAsia="zh-CN"/>
              </w:rPr>
              <w:t>。</w:t>
            </w:r>
            <w:r>
              <w:rPr>
                <w:rFonts w:hint="eastAsia" w:asciiTheme="minorEastAsia" w:hAnsiTheme="minorEastAsia" w:eastAsiaTheme="minorEastAsia" w:cstheme="minorBidi"/>
                <w:sz w:val="28"/>
                <w:szCs w:val="24"/>
              </w:rPr>
              <w:t>此外，公司重视产业链协同与产业生态共建，加快推动产学研深度融合，促进研发成果向商业效益高效转化</w:t>
            </w:r>
            <w:r>
              <w:rPr>
                <w:rFonts w:hint="eastAsia" w:asciiTheme="minorEastAsia" w:hAnsiTheme="minorEastAsia" w:eastAsiaTheme="minorEastAsia" w:cstheme="minorBidi"/>
                <w:sz w:val="28"/>
                <w:szCs w:val="24"/>
                <w:lang w:eastAsia="zh-CN"/>
              </w:rPr>
              <w:t>，</w:t>
            </w:r>
            <w:r>
              <w:rPr>
                <w:rFonts w:hint="eastAsia" w:asciiTheme="minorEastAsia" w:hAnsiTheme="minorEastAsia" w:eastAsiaTheme="minorEastAsia" w:cstheme="minorBidi"/>
                <w:sz w:val="28"/>
                <w:szCs w:val="24"/>
                <w:lang w:val="en-US" w:eastAsia="zh-CN"/>
              </w:rPr>
              <w:t>同时推动创新业态孵化与成长</w:t>
            </w:r>
            <w:r>
              <w:rPr>
                <w:rFonts w:hint="eastAsia" w:asciiTheme="minorEastAsia" w:hAnsiTheme="minorEastAsia" w:eastAsiaTheme="minorEastAsia" w:cstheme="minorBidi"/>
                <w:sz w:val="28"/>
                <w:szCs w:val="24"/>
              </w:rPr>
              <w:t>。</w:t>
            </w:r>
          </w:p>
          <w:p w14:paraId="0CE52CDB">
            <w:pPr>
              <w:ind w:firstLine="562" w:firstLineChars="200"/>
              <w:rPr>
                <w:rFonts w:asciiTheme="minorEastAsia" w:hAnsiTheme="minorEastAsia" w:eastAsiaTheme="minorEastAsia" w:cstheme="minorBidi"/>
                <w:b/>
                <w:bCs/>
                <w:sz w:val="28"/>
                <w:szCs w:val="24"/>
              </w:rPr>
            </w:pPr>
            <w:r>
              <w:rPr>
                <w:rFonts w:hint="eastAsia" w:asciiTheme="minorEastAsia" w:hAnsiTheme="minorEastAsia" w:eastAsiaTheme="minorEastAsia" w:cstheme="minorBidi"/>
                <w:b/>
                <w:bCs/>
                <w:sz w:val="28"/>
                <w:szCs w:val="24"/>
              </w:rPr>
              <w:t>2、如何看待当前医药行业整体发展趋势？</w:t>
            </w:r>
          </w:p>
          <w:p w14:paraId="0A50D72D">
            <w:pPr>
              <w:ind w:firstLine="560" w:firstLineChars="200"/>
              <w:rPr>
                <w:rFonts w:asciiTheme="minorEastAsia" w:hAnsiTheme="minorEastAsia" w:eastAsiaTheme="minorEastAsia" w:cstheme="minorBidi"/>
                <w:sz w:val="28"/>
                <w:szCs w:val="24"/>
              </w:rPr>
            </w:pPr>
            <w:r>
              <w:rPr>
                <w:rFonts w:hint="eastAsia" w:asciiTheme="minorEastAsia" w:hAnsiTheme="minorEastAsia" w:eastAsiaTheme="minorEastAsia" w:cstheme="minorBidi"/>
                <w:sz w:val="28"/>
                <w:szCs w:val="24"/>
              </w:rPr>
              <w:t>答：近年来医药行业处于深度调整阶段，国内行业政策聚焦基层医疗提质扩容、医保改革纵深推进与医药创新赋能提速等方向，同时也面临价格常态化挤压与全链条合规升级的严峻挑战。尽管医药行业存在阶段性压力，但在多重政策协同发力下，行业长期发展的逻辑依然坚实，具备品牌影响力和高效产业链布局的龙头企业有望赢得更大发展空间。企业需持续加大差异化创新投入，积极拓展基层及院外增量渠道，全面强化合规管理体系，常态化产业链协同，深化全流程成本管控，精细化应对集采及价格调控政策，在行业政策变革进程中实现稳健可持续发展。</w:t>
            </w:r>
          </w:p>
          <w:p w14:paraId="22B9DDED">
            <w:pPr>
              <w:ind w:firstLine="562" w:firstLineChars="200"/>
              <w:rPr>
                <w:rFonts w:asciiTheme="minorEastAsia" w:hAnsiTheme="minorEastAsia" w:eastAsiaTheme="minorEastAsia" w:cstheme="minorBidi"/>
                <w:b/>
                <w:bCs/>
                <w:sz w:val="28"/>
                <w:szCs w:val="24"/>
              </w:rPr>
            </w:pPr>
            <w:r>
              <w:rPr>
                <w:rFonts w:hint="eastAsia" w:asciiTheme="minorEastAsia" w:hAnsiTheme="minorEastAsia" w:eastAsiaTheme="minorEastAsia" w:cstheme="minorBidi"/>
                <w:b/>
                <w:bCs/>
                <w:sz w:val="28"/>
                <w:szCs w:val="24"/>
              </w:rPr>
              <w:t>3、公司如何看待中药出海？是否会尝试该业务布局？</w:t>
            </w:r>
          </w:p>
          <w:p w14:paraId="3A0BDBC9">
            <w:pPr>
              <w:ind w:firstLine="560" w:firstLineChars="200"/>
              <w:rPr>
                <w:rFonts w:hint="eastAsia" w:asciiTheme="minorEastAsia" w:hAnsiTheme="minorEastAsia" w:eastAsiaTheme="minorEastAsia" w:cstheme="minorBidi"/>
                <w:sz w:val="28"/>
                <w:szCs w:val="24"/>
              </w:rPr>
            </w:pPr>
            <w:r>
              <w:rPr>
                <w:rFonts w:hint="eastAsia" w:asciiTheme="minorEastAsia" w:hAnsiTheme="minorEastAsia" w:eastAsiaTheme="minorEastAsia" w:cstheme="minorBidi"/>
                <w:sz w:val="28"/>
                <w:szCs w:val="24"/>
              </w:rPr>
              <w:t>答：公司始终密切关注国家在中医药国际化方面的顶层设计、政策导向与市场动态。随着“一带一路”倡议的深入推进以及国家对中医药产业“走出去”的大力支持，部分国家在药品准入方面也展现出积极变化，这些都为中药出海创造了有利的外部条件。考虑到中药产品出海受当地市场认知与接受度、监管政策等多重因素影响，目前公司聚焦国内市场，以稳步发展主营业务为基本盘，公司会持续关注行业相关动态，对出海合作持开放态度，本着审慎务实的原则，结合行业发展及公司实际情况综合研判相关可行性。</w:t>
            </w:r>
          </w:p>
          <w:p w14:paraId="6DD78A7A">
            <w:pPr>
              <w:ind w:firstLine="560" w:firstLineChars="200"/>
              <w:rPr>
                <w:rFonts w:hint="eastAsia" w:asciiTheme="minorEastAsia" w:hAnsiTheme="minorEastAsia" w:eastAsiaTheme="minorEastAsia" w:cstheme="minorBidi"/>
                <w:sz w:val="28"/>
                <w:szCs w:val="24"/>
              </w:rPr>
            </w:pPr>
          </w:p>
          <w:p w14:paraId="0BF909CF">
            <w:pPr>
              <w:ind w:firstLine="562" w:firstLineChars="200"/>
              <w:rPr>
                <w:rFonts w:asciiTheme="minorEastAsia" w:hAnsiTheme="minorEastAsia" w:eastAsiaTheme="minorEastAsia" w:cstheme="minorBidi"/>
                <w:sz w:val="28"/>
                <w:szCs w:val="24"/>
              </w:rPr>
            </w:pPr>
            <w:r>
              <w:rPr>
                <w:rFonts w:hint="eastAsia" w:asciiTheme="minorEastAsia" w:hAnsiTheme="minorEastAsia" w:eastAsiaTheme="minorEastAsia" w:cstheme="minorBidi"/>
                <w:b/>
                <w:bCs/>
                <w:sz w:val="28"/>
                <w:szCs w:val="24"/>
              </w:rPr>
              <w:t>温馨提示：</w:t>
            </w:r>
            <w:r>
              <w:rPr>
                <w:rFonts w:hint="eastAsia" w:asciiTheme="minorEastAsia" w:hAnsiTheme="minorEastAsia" w:eastAsiaTheme="minorEastAsia" w:cstheme="minorBidi"/>
                <w:sz w:val="28"/>
                <w:szCs w:val="24"/>
              </w:rPr>
              <w:t>以上内容涉及的对外部环境判断、公司发展战略、未来计划及相关事项进展等部分前瞻性陈述，受宏观经济、行业政策、市场竞争等多种因素影响，存在不确定性，不构成公司对投资者的实质承诺，敬请广大投资者理性投资，注意投资风险。</w:t>
            </w:r>
          </w:p>
        </w:tc>
      </w:tr>
      <w:tr w14:paraId="66551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shd w:val="clear" w:color="auto" w:fill="auto"/>
            <w:vAlign w:val="center"/>
          </w:tcPr>
          <w:p w14:paraId="0B7430C3">
            <w:pPr>
              <w:jc w:val="center"/>
              <w:rPr>
                <w:sz w:val="28"/>
              </w:rPr>
            </w:pPr>
            <w:r>
              <w:rPr>
                <w:rFonts w:hint="eastAsia"/>
                <w:sz w:val="28"/>
              </w:rPr>
              <w:t>备注</w:t>
            </w:r>
          </w:p>
        </w:tc>
        <w:tc>
          <w:tcPr>
            <w:tcW w:w="8363" w:type="dxa"/>
            <w:shd w:val="clear" w:color="auto" w:fill="auto"/>
          </w:tcPr>
          <w:p w14:paraId="4C3B3A1A">
            <w:pPr>
              <w:ind w:firstLine="560" w:firstLineChars="200"/>
              <w:rPr>
                <w:rFonts w:asciiTheme="minorEastAsia" w:hAnsiTheme="minorEastAsia" w:eastAsiaTheme="minorEastAsia" w:cstheme="minorBidi"/>
                <w:b/>
                <w:bCs/>
                <w:sz w:val="28"/>
                <w:szCs w:val="24"/>
              </w:rPr>
            </w:pPr>
            <w:r>
              <w:rPr>
                <w:rFonts w:hint="eastAsia" w:asciiTheme="minorEastAsia" w:hAnsiTheme="minorEastAsia" w:eastAsiaTheme="minorEastAsia" w:cstheme="minorBidi"/>
                <w:sz w:val="28"/>
                <w:szCs w:val="24"/>
              </w:rPr>
              <w:t>以上业绩说明会及交流严格遵照相关制度规定，未涉及应披露而未披露的重大信息。</w:t>
            </w:r>
          </w:p>
        </w:tc>
      </w:tr>
    </w:tbl>
    <w:p w14:paraId="6FBC3660">
      <w:pPr>
        <w:rPr>
          <w:rFonts w:asciiTheme="minorEastAsia" w:hAnsiTheme="minorEastAsia"/>
          <w:sz w:val="32"/>
          <w:szCs w:val="24"/>
          <w:highlight w:val="yellow"/>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5A5"/>
    <w:rsid w:val="00061C1F"/>
    <w:rsid w:val="00066E05"/>
    <w:rsid w:val="00077D97"/>
    <w:rsid w:val="000A2552"/>
    <w:rsid w:val="000B65A5"/>
    <w:rsid w:val="000D0F19"/>
    <w:rsid w:val="000D1704"/>
    <w:rsid w:val="00132E28"/>
    <w:rsid w:val="00151ADD"/>
    <w:rsid w:val="00177176"/>
    <w:rsid w:val="0018333C"/>
    <w:rsid w:val="001F6694"/>
    <w:rsid w:val="00210FAA"/>
    <w:rsid w:val="00252C64"/>
    <w:rsid w:val="00293619"/>
    <w:rsid w:val="00297745"/>
    <w:rsid w:val="002B122C"/>
    <w:rsid w:val="002D1F17"/>
    <w:rsid w:val="00307E94"/>
    <w:rsid w:val="00314A2C"/>
    <w:rsid w:val="003D260C"/>
    <w:rsid w:val="00424926"/>
    <w:rsid w:val="00456EE7"/>
    <w:rsid w:val="004B1DA1"/>
    <w:rsid w:val="004D218C"/>
    <w:rsid w:val="00552D0B"/>
    <w:rsid w:val="0058007A"/>
    <w:rsid w:val="005F22A7"/>
    <w:rsid w:val="005F23A0"/>
    <w:rsid w:val="00632090"/>
    <w:rsid w:val="0065062E"/>
    <w:rsid w:val="006559E6"/>
    <w:rsid w:val="0066010E"/>
    <w:rsid w:val="0066506A"/>
    <w:rsid w:val="00675E15"/>
    <w:rsid w:val="00753255"/>
    <w:rsid w:val="007754FD"/>
    <w:rsid w:val="007931FE"/>
    <w:rsid w:val="007A6B0A"/>
    <w:rsid w:val="00817962"/>
    <w:rsid w:val="008265C4"/>
    <w:rsid w:val="008708D3"/>
    <w:rsid w:val="00924F15"/>
    <w:rsid w:val="00950621"/>
    <w:rsid w:val="00953CA9"/>
    <w:rsid w:val="009D7E69"/>
    <w:rsid w:val="00A41028"/>
    <w:rsid w:val="00A920E8"/>
    <w:rsid w:val="00B2405F"/>
    <w:rsid w:val="00B73B3A"/>
    <w:rsid w:val="00C21055"/>
    <w:rsid w:val="00C65997"/>
    <w:rsid w:val="00CB19AC"/>
    <w:rsid w:val="00CC3EE5"/>
    <w:rsid w:val="00CD575C"/>
    <w:rsid w:val="00D045B9"/>
    <w:rsid w:val="00D54A6F"/>
    <w:rsid w:val="00DA3BEB"/>
    <w:rsid w:val="00DC65AA"/>
    <w:rsid w:val="00DF2228"/>
    <w:rsid w:val="00E64829"/>
    <w:rsid w:val="00EC49AF"/>
    <w:rsid w:val="00EE2A2B"/>
    <w:rsid w:val="00F036C9"/>
    <w:rsid w:val="00F6079C"/>
    <w:rsid w:val="00FC43F6"/>
    <w:rsid w:val="02615AC4"/>
    <w:rsid w:val="02860DB9"/>
    <w:rsid w:val="02913461"/>
    <w:rsid w:val="032C124E"/>
    <w:rsid w:val="034B354E"/>
    <w:rsid w:val="06856661"/>
    <w:rsid w:val="06BA1FF9"/>
    <w:rsid w:val="08D65C03"/>
    <w:rsid w:val="0999210E"/>
    <w:rsid w:val="0A6B449D"/>
    <w:rsid w:val="0D050B41"/>
    <w:rsid w:val="0DA6037A"/>
    <w:rsid w:val="0E2C3DC4"/>
    <w:rsid w:val="0E3977C0"/>
    <w:rsid w:val="0F4A5F39"/>
    <w:rsid w:val="10606175"/>
    <w:rsid w:val="10AE6B54"/>
    <w:rsid w:val="10DD77C5"/>
    <w:rsid w:val="11365128"/>
    <w:rsid w:val="11556C74"/>
    <w:rsid w:val="11877731"/>
    <w:rsid w:val="11E64458"/>
    <w:rsid w:val="12C34799"/>
    <w:rsid w:val="13E72709"/>
    <w:rsid w:val="143D057B"/>
    <w:rsid w:val="160B6B83"/>
    <w:rsid w:val="162B4540"/>
    <w:rsid w:val="16341E2B"/>
    <w:rsid w:val="18C00E48"/>
    <w:rsid w:val="193831D1"/>
    <w:rsid w:val="199155F1"/>
    <w:rsid w:val="19C05ED6"/>
    <w:rsid w:val="1AA1056B"/>
    <w:rsid w:val="1ADB00ED"/>
    <w:rsid w:val="1C4E333B"/>
    <w:rsid w:val="1CB05D8E"/>
    <w:rsid w:val="1CDB6B83"/>
    <w:rsid w:val="1D253906"/>
    <w:rsid w:val="1D6B7F07"/>
    <w:rsid w:val="1E1E141D"/>
    <w:rsid w:val="1FC556C1"/>
    <w:rsid w:val="213D605E"/>
    <w:rsid w:val="21802B1A"/>
    <w:rsid w:val="21997739"/>
    <w:rsid w:val="21FC3824"/>
    <w:rsid w:val="225D37FB"/>
    <w:rsid w:val="225E628C"/>
    <w:rsid w:val="227635D6"/>
    <w:rsid w:val="24945F95"/>
    <w:rsid w:val="257A162F"/>
    <w:rsid w:val="26557F83"/>
    <w:rsid w:val="26B648E9"/>
    <w:rsid w:val="26BE554B"/>
    <w:rsid w:val="27824B26"/>
    <w:rsid w:val="27D42FAB"/>
    <w:rsid w:val="28C121B6"/>
    <w:rsid w:val="297E0BF6"/>
    <w:rsid w:val="2A5A1936"/>
    <w:rsid w:val="2B284E68"/>
    <w:rsid w:val="2B4029D3"/>
    <w:rsid w:val="2BF135D6"/>
    <w:rsid w:val="2D0C7D11"/>
    <w:rsid w:val="2D3E1194"/>
    <w:rsid w:val="2D3E2F42"/>
    <w:rsid w:val="2D856DC3"/>
    <w:rsid w:val="2DC84F02"/>
    <w:rsid w:val="2EC41B6D"/>
    <w:rsid w:val="2F34284F"/>
    <w:rsid w:val="2F884949"/>
    <w:rsid w:val="2F971030"/>
    <w:rsid w:val="305F38FB"/>
    <w:rsid w:val="3091782D"/>
    <w:rsid w:val="30E95C0A"/>
    <w:rsid w:val="31966334"/>
    <w:rsid w:val="322C3CB1"/>
    <w:rsid w:val="32951856"/>
    <w:rsid w:val="331352EB"/>
    <w:rsid w:val="336B6D51"/>
    <w:rsid w:val="33822EBD"/>
    <w:rsid w:val="33EC5DB4"/>
    <w:rsid w:val="33F314BD"/>
    <w:rsid w:val="34767465"/>
    <w:rsid w:val="36063E8C"/>
    <w:rsid w:val="360B0081"/>
    <w:rsid w:val="36A92528"/>
    <w:rsid w:val="36C16C05"/>
    <w:rsid w:val="36D3294D"/>
    <w:rsid w:val="36DA1F2E"/>
    <w:rsid w:val="371371EE"/>
    <w:rsid w:val="378E0F6A"/>
    <w:rsid w:val="38A50319"/>
    <w:rsid w:val="398919E9"/>
    <w:rsid w:val="39AE76A2"/>
    <w:rsid w:val="39C96289"/>
    <w:rsid w:val="3AD76784"/>
    <w:rsid w:val="3B1704E7"/>
    <w:rsid w:val="3BA945C4"/>
    <w:rsid w:val="3BD62364"/>
    <w:rsid w:val="3C9C1A33"/>
    <w:rsid w:val="3D343D7D"/>
    <w:rsid w:val="3DC50FCF"/>
    <w:rsid w:val="3DC93F62"/>
    <w:rsid w:val="3E1D4DF6"/>
    <w:rsid w:val="3ED26D52"/>
    <w:rsid w:val="3F43663F"/>
    <w:rsid w:val="400E0926"/>
    <w:rsid w:val="41E2438C"/>
    <w:rsid w:val="42756FAE"/>
    <w:rsid w:val="433504EC"/>
    <w:rsid w:val="443F1622"/>
    <w:rsid w:val="456B4699"/>
    <w:rsid w:val="45B2013B"/>
    <w:rsid w:val="45EA7CB3"/>
    <w:rsid w:val="46C73B51"/>
    <w:rsid w:val="48C94253"/>
    <w:rsid w:val="49123A83"/>
    <w:rsid w:val="49153299"/>
    <w:rsid w:val="491B181B"/>
    <w:rsid w:val="495637F2"/>
    <w:rsid w:val="49C37C11"/>
    <w:rsid w:val="4A076B1A"/>
    <w:rsid w:val="4A8A736F"/>
    <w:rsid w:val="4AEA0368"/>
    <w:rsid w:val="4B105AC6"/>
    <w:rsid w:val="4BF50BE1"/>
    <w:rsid w:val="4D3A5125"/>
    <w:rsid w:val="4EB250E6"/>
    <w:rsid w:val="4EC2357B"/>
    <w:rsid w:val="5011153E"/>
    <w:rsid w:val="507C14E9"/>
    <w:rsid w:val="50B02961"/>
    <w:rsid w:val="51933469"/>
    <w:rsid w:val="51A056CA"/>
    <w:rsid w:val="51D05FAF"/>
    <w:rsid w:val="51F15F26"/>
    <w:rsid w:val="52C553E8"/>
    <w:rsid w:val="52E837CD"/>
    <w:rsid w:val="53225BCD"/>
    <w:rsid w:val="535E75EB"/>
    <w:rsid w:val="54B24CDC"/>
    <w:rsid w:val="55C074F6"/>
    <w:rsid w:val="55C81CFD"/>
    <w:rsid w:val="55D818D6"/>
    <w:rsid w:val="55EB5A20"/>
    <w:rsid w:val="55F70892"/>
    <w:rsid w:val="5658357D"/>
    <w:rsid w:val="56CD6F61"/>
    <w:rsid w:val="58406123"/>
    <w:rsid w:val="58651F78"/>
    <w:rsid w:val="58F0168F"/>
    <w:rsid w:val="593333F2"/>
    <w:rsid w:val="59464082"/>
    <w:rsid w:val="5AC56314"/>
    <w:rsid w:val="5B926F50"/>
    <w:rsid w:val="5BD20B76"/>
    <w:rsid w:val="5BFE196B"/>
    <w:rsid w:val="5C2C2C25"/>
    <w:rsid w:val="5D6C64B2"/>
    <w:rsid w:val="5DE27796"/>
    <w:rsid w:val="5F506981"/>
    <w:rsid w:val="5FA016B7"/>
    <w:rsid w:val="602045A6"/>
    <w:rsid w:val="60870181"/>
    <w:rsid w:val="60884E01"/>
    <w:rsid w:val="60E24BD7"/>
    <w:rsid w:val="60F14455"/>
    <w:rsid w:val="63585E05"/>
    <w:rsid w:val="63D23E09"/>
    <w:rsid w:val="64177492"/>
    <w:rsid w:val="64251D13"/>
    <w:rsid w:val="64D92F75"/>
    <w:rsid w:val="651D2442"/>
    <w:rsid w:val="65A417D5"/>
    <w:rsid w:val="66066779"/>
    <w:rsid w:val="662F72F1"/>
    <w:rsid w:val="682A3CB1"/>
    <w:rsid w:val="69A27510"/>
    <w:rsid w:val="69D93DA2"/>
    <w:rsid w:val="6A6B0B13"/>
    <w:rsid w:val="6A861DBF"/>
    <w:rsid w:val="6A8B6AC0"/>
    <w:rsid w:val="6AC151D7"/>
    <w:rsid w:val="6B4078AA"/>
    <w:rsid w:val="6B4D2364"/>
    <w:rsid w:val="6C027260"/>
    <w:rsid w:val="6C122F13"/>
    <w:rsid w:val="6C4A7BBA"/>
    <w:rsid w:val="6CCB3B50"/>
    <w:rsid w:val="6D1A412B"/>
    <w:rsid w:val="6D77157D"/>
    <w:rsid w:val="6DC74A88"/>
    <w:rsid w:val="6E1B45FE"/>
    <w:rsid w:val="6EE64C0C"/>
    <w:rsid w:val="6F6A75EB"/>
    <w:rsid w:val="70E60428"/>
    <w:rsid w:val="70E64F40"/>
    <w:rsid w:val="714B6010"/>
    <w:rsid w:val="73471B6A"/>
    <w:rsid w:val="739A7D73"/>
    <w:rsid w:val="73C20333"/>
    <w:rsid w:val="74B00C49"/>
    <w:rsid w:val="75750A98"/>
    <w:rsid w:val="76A437CB"/>
    <w:rsid w:val="77F71C38"/>
    <w:rsid w:val="783211A1"/>
    <w:rsid w:val="7875635D"/>
    <w:rsid w:val="78832A30"/>
    <w:rsid w:val="78FD6DDA"/>
    <w:rsid w:val="7B064352"/>
    <w:rsid w:val="7BF87D2D"/>
    <w:rsid w:val="7C1A3B71"/>
    <w:rsid w:val="7C232FFC"/>
    <w:rsid w:val="7D8D7759"/>
    <w:rsid w:val="7D9578CD"/>
    <w:rsid w:val="7E242129"/>
    <w:rsid w:val="7E386B07"/>
    <w:rsid w:val="7E462FD2"/>
    <w:rsid w:val="7E971A7F"/>
    <w:rsid w:val="7F8536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paragraph" w:styleId="2">
    <w:name w:val="heading 3"/>
    <w:basedOn w:val="1"/>
    <w:next w:val="1"/>
    <w:semiHidden/>
    <w:unhideWhenUsed/>
    <w:qFormat/>
    <w:uiPriority w:val="9"/>
    <w:pPr>
      <w:spacing w:beforeAutospacing="1" w:afterAutospacing="1"/>
      <w:jc w:val="left"/>
      <w:outlineLvl w:val="2"/>
    </w:pPr>
    <w:rPr>
      <w:rFonts w:hint="eastAsia" w:ascii="宋体" w:hAnsi="宋体" w:cs="Times New Roman"/>
      <w:b/>
      <w:bCs/>
      <w:kern w:val="0"/>
      <w:sz w:val="27"/>
      <w:szCs w:val="27"/>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1"/>
    <w:qFormat/>
    <w:uiPriority w:val="99"/>
    <w:pPr>
      <w:jc w:val="left"/>
    </w:pPr>
  </w:style>
  <w:style w:type="paragraph" w:styleId="4">
    <w:name w:val="Body Text"/>
    <w:basedOn w:val="1"/>
    <w:qFormat/>
    <w:uiPriority w:val="0"/>
    <w:pPr>
      <w:widowControl/>
      <w:kinsoku w:val="0"/>
      <w:autoSpaceDE w:val="0"/>
      <w:autoSpaceDN w:val="0"/>
      <w:adjustRightInd w:val="0"/>
      <w:snapToGrid w:val="0"/>
      <w:jc w:val="left"/>
      <w:textAlignment w:val="baseline"/>
    </w:pPr>
    <w:rPr>
      <w:rFonts w:ascii="宋体" w:hAnsi="宋体"/>
      <w:snapToGrid w:val="0"/>
      <w:color w:val="000000"/>
      <w:kern w:val="0"/>
      <w:sz w:val="11"/>
      <w:szCs w:val="11"/>
      <w:lang w:eastAsia="en-US"/>
    </w:rPr>
  </w:style>
  <w:style w:type="paragraph" w:styleId="5">
    <w:name w:val="Balloon Text"/>
    <w:basedOn w:val="1"/>
    <w:link w:val="24"/>
    <w:qFormat/>
    <w:uiPriority w:val="99"/>
    <w:rPr>
      <w:sz w:val="18"/>
      <w:szCs w:val="18"/>
    </w:rPr>
  </w:style>
  <w:style w:type="paragraph" w:styleId="6">
    <w:name w:val="footer"/>
    <w:basedOn w:val="1"/>
    <w:link w:val="20"/>
    <w:qFormat/>
    <w:uiPriority w:val="99"/>
    <w:pPr>
      <w:tabs>
        <w:tab w:val="center" w:pos="4153"/>
        <w:tab w:val="right" w:pos="8306"/>
      </w:tabs>
      <w:snapToGrid w:val="0"/>
      <w:jc w:val="left"/>
    </w:pPr>
    <w:rPr>
      <w:sz w:val="18"/>
      <w:szCs w:val="18"/>
    </w:rPr>
  </w:style>
  <w:style w:type="paragraph" w:styleId="7">
    <w:name w:val="header"/>
    <w:basedOn w:val="1"/>
    <w:link w:val="19"/>
    <w:qFormat/>
    <w:uiPriority w:val="99"/>
    <w:pPr>
      <w:pBdr>
        <w:bottom w:val="single" w:color="auto" w:sz="6" w:space="1"/>
      </w:pBdr>
      <w:tabs>
        <w:tab w:val="center" w:pos="4153"/>
        <w:tab w:val="right" w:pos="8306"/>
      </w:tabs>
      <w:snapToGrid w:val="0"/>
      <w:jc w:val="center"/>
    </w:pPr>
    <w:rPr>
      <w:sz w:val="18"/>
      <w:szCs w:val="18"/>
    </w:rPr>
  </w:style>
  <w:style w:type="paragraph" w:styleId="8">
    <w:name w:val="HTML Preformatted"/>
    <w:basedOn w:val="1"/>
    <w:link w:val="26"/>
    <w:qFormat/>
    <w:uiPriority w:val="99"/>
    <w:rPr>
      <w:rFonts w:ascii="Courier New" w:hAnsi="Courier New" w:cs="Courier New"/>
      <w:sz w:val="20"/>
      <w:szCs w:val="20"/>
    </w:rPr>
  </w:style>
  <w:style w:type="paragraph" w:styleId="9">
    <w:name w:val="Normal (Web)"/>
    <w:basedOn w:val="1"/>
    <w:qFormat/>
    <w:uiPriority w:val="99"/>
    <w:pPr>
      <w:widowControl/>
      <w:spacing w:before="100" w:beforeAutospacing="1" w:after="100" w:afterAutospacing="1"/>
      <w:jc w:val="left"/>
    </w:pPr>
    <w:rPr>
      <w:rFonts w:ascii="宋体" w:hAnsi="宋体"/>
      <w:kern w:val="0"/>
      <w:sz w:val="24"/>
      <w:szCs w:val="24"/>
    </w:rPr>
  </w:style>
  <w:style w:type="paragraph" w:styleId="10">
    <w:name w:val="annotation subject"/>
    <w:basedOn w:val="3"/>
    <w:next w:val="3"/>
    <w:link w:val="22"/>
    <w:qFormat/>
    <w:uiPriority w:val="99"/>
    <w:rPr>
      <w:b/>
      <w:bCs/>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22"/>
    <w:rPr>
      <w:b/>
    </w:rPr>
  </w:style>
  <w:style w:type="character" w:styleId="15">
    <w:name w:val="Hyperlink"/>
    <w:basedOn w:val="13"/>
    <w:semiHidden/>
    <w:unhideWhenUsed/>
    <w:qFormat/>
    <w:uiPriority w:val="99"/>
    <w:rPr>
      <w:color w:val="0000FF"/>
      <w:u w:val="single"/>
    </w:rPr>
  </w:style>
  <w:style w:type="character" w:styleId="16">
    <w:name w:val="annotation reference"/>
    <w:basedOn w:val="13"/>
    <w:qFormat/>
    <w:uiPriority w:val="99"/>
    <w:rPr>
      <w:sz w:val="21"/>
      <w:szCs w:val="21"/>
    </w:rPr>
  </w:style>
  <w:style w:type="paragraph" w:customStyle="1" w:styleId="1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qFormat/>
    <w:uiPriority w:val="34"/>
    <w:pPr>
      <w:ind w:firstLine="420" w:firstLineChars="200"/>
    </w:pPr>
  </w:style>
  <w:style w:type="character" w:customStyle="1" w:styleId="19">
    <w:name w:val="页眉 字符"/>
    <w:basedOn w:val="13"/>
    <w:link w:val="7"/>
    <w:qFormat/>
    <w:uiPriority w:val="99"/>
    <w:rPr>
      <w:sz w:val="18"/>
      <w:szCs w:val="18"/>
    </w:rPr>
  </w:style>
  <w:style w:type="character" w:customStyle="1" w:styleId="20">
    <w:name w:val="页脚 字符"/>
    <w:basedOn w:val="13"/>
    <w:link w:val="6"/>
    <w:qFormat/>
    <w:uiPriority w:val="99"/>
    <w:rPr>
      <w:sz w:val="18"/>
      <w:szCs w:val="18"/>
    </w:rPr>
  </w:style>
  <w:style w:type="character" w:customStyle="1" w:styleId="21">
    <w:name w:val="批注文字 字符"/>
    <w:basedOn w:val="13"/>
    <w:link w:val="3"/>
    <w:qFormat/>
    <w:uiPriority w:val="99"/>
    <w:rPr>
      <w:rFonts w:ascii="Calibri" w:hAnsi="Calibri" w:eastAsia="宋体" w:cs="宋体"/>
      <w:kern w:val="2"/>
      <w:sz w:val="21"/>
      <w:szCs w:val="22"/>
    </w:rPr>
  </w:style>
  <w:style w:type="character" w:customStyle="1" w:styleId="22">
    <w:name w:val="批注主题 字符"/>
    <w:basedOn w:val="21"/>
    <w:link w:val="10"/>
    <w:qFormat/>
    <w:uiPriority w:val="99"/>
    <w:rPr>
      <w:rFonts w:ascii="Calibri" w:hAnsi="Calibri" w:eastAsia="宋体" w:cs="宋体"/>
      <w:b/>
      <w:bCs/>
      <w:kern w:val="2"/>
      <w:sz w:val="21"/>
      <w:szCs w:val="22"/>
    </w:rPr>
  </w:style>
  <w:style w:type="paragraph" w:customStyle="1" w:styleId="23">
    <w:name w:val="修订1"/>
    <w:qFormat/>
    <w:uiPriority w:val="99"/>
    <w:rPr>
      <w:rFonts w:ascii="Calibri" w:hAnsi="Calibri" w:eastAsia="宋体" w:cs="宋体"/>
      <w:kern w:val="2"/>
      <w:sz w:val="21"/>
      <w:szCs w:val="22"/>
      <w:lang w:val="en-US" w:eastAsia="zh-CN" w:bidi="ar-SA"/>
    </w:rPr>
  </w:style>
  <w:style w:type="character" w:customStyle="1" w:styleId="24">
    <w:name w:val="批注框文本 字符"/>
    <w:basedOn w:val="13"/>
    <w:link w:val="5"/>
    <w:qFormat/>
    <w:uiPriority w:val="99"/>
    <w:rPr>
      <w:rFonts w:ascii="Calibri" w:hAnsi="Calibri" w:eastAsia="宋体" w:cs="宋体"/>
      <w:kern w:val="2"/>
      <w:sz w:val="18"/>
      <w:szCs w:val="18"/>
    </w:rPr>
  </w:style>
  <w:style w:type="character" w:customStyle="1" w:styleId="25">
    <w:name w:val="highlight"/>
    <w:basedOn w:val="13"/>
    <w:qFormat/>
    <w:uiPriority w:val="0"/>
  </w:style>
  <w:style w:type="character" w:customStyle="1" w:styleId="26">
    <w:name w:val="HTML 预设格式 字符"/>
    <w:basedOn w:val="13"/>
    <w:link w:val="8"/>
    <w:qFormat/>
    <w:uiPriority w:val="99"/>
    <w:rPr>
      <w:rFonts w:ascii="Courier New" w:hAnsi="Courier New" w:eastAsia="宋体" w:cs="Courier New"/>
      <w:kern w:val="2"/>
    </w:rPr>
  </w:style>
  <w:style w:type="paragraph" w:styleId="27">
    <w:name w:val="No Spacing"/>
    <w:qFormat/>
    <w:uiPriority w:val="1"/>
    <w:pPr>
      <w:widowControl w:val="0"/>
    </w:pPr>
    <w:rPr>
      <w:rFonts w:ascii="Calibri" w:hAnsi="Calibri" w:eastAsia="宋体" w:cs="宋体"/>
      <w:kern w:val="2"/>
      <w:sz w:val="22"/>
      <w:szCs w:val="24"/>
      <w:lang w:val="en-US" w:eastAsia="zh-CN" w:bidi="ar-SA"/>
      <w14:ligatures w14:val="standardContextual"/>
    </w:rPr>
  </w:style>
  <w:style w:type="paragraph" w:customStyle="1" w:styleId="28">
    <w:name w:val="修订2"/>
    <w:qFormat/>
    <w:uiPriority w:val="99"/>
    <w:rPr>
      <w:rFonts w:ascii="Calibri" w:hAnsi="Calibri" w:eastAsia="宋体" w:cs="宋体"/>
      <w:kern w:val="2"/>
      <w:sz w:val="21"/>
      <w:szCs w:val="22"/>
      <w:lang w:val="en-US" w:eastAsia="zh-CN" w:bidi="ar-SA"/>
    </w:rPr>
  </w:style>
  <w:style w:type="paragraph" w:customStyle="1" w:styleId="29">
    <w:name w:val="修订3"/>
    <w:qFormat/>
    <w:uiPriority w:val="99"/>
    <w:rPr>
      <w:rFonts w:ascii="Calibri" w:hAnsi="Calibri" w:eastAsia="宋体" w:cs="宋体"/>
      <w:kern w:val="2"/>
      <w:sz w:val="21"/>
      <w:szCs w:val="22"/>
      <w:lang w:val="en-US" w:eastAsia="zh-CN" w:bidi="ar-SA"/>
    </w:rPr>
  </w:style>
  <w:style w:type="paragraph" w:customStyle="1" w:styleId="30">
    <w:name w:val="修订4"/>
    <w:hidden/>
    <w:semiHidden/>
    <w:qFormat/>
    <w:uiPriority w:val="99"/>
    <w:rPr>
      <w:rFonts w:ascii="Calibri" w:hAnsi="Calibri" w:eastAsia="宋体" w:cs="宋体"/>
      <w:kern w:val="2"/>
      <w:sz w:val="21"/>
      <w:szCs w:val="22"/>
      <w:lang w:val="en-US" w:eastAsia="zh-CN" w:bidi="ar-SA"/>
    </w:rPr>
  </w:style>
  <w:style w:type="paragraph" w:customStyle="1" w:styleId="31">
    <w:name w:val="修订5"/>
    <w:hidden/>
    <w:semiHidden/>
    <w:qFormat/>
    <w:uiPriority w:val="99"/>
    <w:rPr>
      <w:rFonts w:ascii="Calibri" w:hAnsi="Calibri" w:eastAsia="宋体" w:cs="宋体"/>
      <w:kern w:val="2"/>
      <w:sz w:val="21"/>
      <w:szCs w:val="22"/>
      <w:lang w:val="en-US" w:eastAsia="zh-CN" w:bidi="ar-SA"/>
    </w:rPr>
  </w:style>
  <w:style w:type="paragraph" w:customStyle="1" w:styleId="32">
    <w:name w:val="Revision"/>
    <w:hidden/>
    <w:semiHidden/>
    <w:qFormat/>
    <w:uiPriority w:val="99"/>
    <w:rPr>
      <w:rFonts w:ascii="Calibri" w:hAnsi="Calibri" w:eastAsia="宋体" w:cs="宋体"/>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5F81A-2D4C-4F1D-B48A-29488F7B05E7}">
  <ds:schemaRefs/>
</ds:datastoreItem>
</file>

<file path=docProps/app.xml><?xml version="1.0" encoding="utf-8"?>
<Properties xmlns="http://schemas.openxmlformats.org/officeDocument/2006/extended-properties" xmlns:vt="http://schemas.openxmlformats.org/officeDocument/2006/docPropsVTypes">
  <Template>Normal</Template>
  <Pages>8</Pages>
  <Words>3813</Words>
  <Characters>4021</Characters>
  <Lines>93</Lines>
  <Paragraphs>56</Paragraphs>
  <TotalTime>223</TotalTime>
  <ScaleCrop>false</ScaleCrop>
  <LinksUpToDate>false</LinksUpToDate>
  <CharactersWithSpaces>4108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2025-12-18T01:37:00Z</dcterms:created>
  <dc:creator>Microsoft 帐户</dc:creator>
  <cp:lastModifiedBy>吉思凡</cp:lastModifiedBy>
  <dcterms:modified xsi:type="dcterms:W3CDTF">2026-09-10T08:14:46Z</dcterms:modified>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B9925C5EA23C4609BA2D33FF3A8FC87C_13</vt:lpwstr>
  </property>
  <property fmtid="{D5CDD505-2E9C-101B-9397-08002B2CF9AE}" pid="4" name="KSOTemplateDocerSaveRecord">
    <vt:lpwstr>eyJoZGlkIjoiOWFhZDYyNGQxODg3ZDc2MzQ4MTdiZDJkNGQ1M2EwY2IiLCJ1c2VySWQiOiI1MTEwMDg4MzcifQ==</vt:lpwstr>
  </property>
</Properties>
</file>