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ascii="Times New Roman" w:hAnsi="Times New Roman" w:eastAsia="黑体"/>
          <w:bCs/>
          <w:sz w:val="24"/>
        </w:rPr>
      </w:pPr>
      <w:bookmarkStart w:id="0" w:name="OLE_LINK8"/>
      <w:bookmarkStart w:id="1" w:name="OLE_LINK7"/>
      <w:bookmarkStart w:id="2" w:name="OLE_LINK5"/>
      <w:r>
        <w:rPr>
          <w:rFonts w:hint="eastAsia" w:ascii="Times New Roman" w:hAnsi="Times New Roman" w:eastAsia="黑体"/>
          <w:bCs/>
          <w:sz w:val="24"/>
        </w:rPr>
        <w:t>证券代码：</w:t>
      </w:r>
      <w:r>
        <w:rPr>
          <w:rFonts w:ascii="Times New Roman" w:hAnsi="Times New Roman" w:eastAsia="黑体"/>
          <w:bCs/>
          <w:sz w:val="24"/>
        </w:rPr>
        <w:t xml:space="preserve">601187                                  </w:t>
      </w:r>
      <w:r>
        <w:rPr>
          <w:rFonts w:hint="eastAsia" w:ascii="Times New Roman" w:hAnsi="Times New Roman" w:eastAsia="黑体"/>
          <w:bCs/>
          <w:sz w:val="24"/>
        </w:rPr>
        <w:t>证券简称：厦门银行</w:t>
      </w:r>
    </w:p>
    <w:p>
      <w:pPr>
        <w:spacing w:line="360" w:lineRule="auto"/>
        <w:jc w:val="center"/>
        <w:rPr>
          <w:rFonts w:ascii="Times New Roman" w:hAnsi="Times New Roman" w:eastAsia="黑体"/>
          <w:b/>
          <w:sz w:val="32"/>
          <w:szCs w:val="32"/>
        </w:rPr>
      </w:pPr>
      <w:bookmarkStart w:id="3" w:name="OLE_LINK4"/>
      <w:r>
        <w:rPr>
          <w:rFonts w:hint="eastAsia" w:ascii="Times New Roman" w:hAnsi="Times New Roman" w:eastAsia="黑体"/>
          <w:b/>
          <w:sz w:val="32"/>
          <w:szCs w:val="32"/>
        </w:rPr>
        <w:t>厦门银行股份有限公司</w:t>
      </w:r>
    </w:p>
    <w:p>
      <w:pPr>
        <w:spacing w:line="360" w:lineRule="auto"/>
        <w:jc w:val="center"/>
        <w:rPr>
          <w:rFonts w:ascii="Times New Roman" w:hAnsi="Times New Roman" w:eastAsia="黑体"/>
          <w:b/>
          <w:bCs/>
          <w:iCs/>
          <w:color w:val="000000"/>
          <w:sz w:val="32"/>
          <w:szCs w:val="32"/>
        </w:rPr>
      </w:pPr>
      <w:bookmarkStart w:id="4" w:name="OLE_LINK6"/>
      <w:bookmarkStart w:id="5" w:name="OLE_LINK3"/>
      <w:r>
        <w:rPr>
          <w:rFonts w:hint="eastAsia" w:ascii="Times New Roman" w:hAnsi="Times New Roman" w:eastAsia="黑体"/>
          <w:b/>
          <w:bCs/>
          <w:iCs/>
          <w:color w:val="000000"/>
          <w:sz w:val="32"/>
          <w:szCs w:val="32"/>
        </w:rPr>
        <w:t>投资者关系</w:t>
      </w:r>
      <w:bookmarkStart w:id="6" w:name="OLE_LINK2"/>
      <w:bookmarkStart w:id="7" w:name="OLE_LINK1"/>
      <w:r>
        <w:rPr>
          <w:rFonts w:hint="eastAsia" w:ascii="Times New Roman" w:hAnsi="Times New Roman" w:eastAsia="黑体"/>
          <w:b/>
          <w:bCs/>
          <w:iCs/>
          <w:color w:val="000000"/>
          <w:sz w:val="32"/>
          <w:szCs w:val="32"/>
        </w:rPr>
        <w:t>活动</w:t>
      </w:r>
      <w:bookmarkEnd w:id="4"/>
      <w:r>
        <w:rPr>
          <w:rFonts w:hint="eastAsia" w:ascii="Times New Roman" w:hAnsi="Times New Roman" w:eastAsia="黑体"/>
          <w:b/>
          <w:bCs/>
          <w:iCs/>
          <w:color w:val="000000"/>
          <w:sz w:val="32"/>
          <w:szCs w:val="32"/>
        </w:rPr>
        <w:t>记录表</w:t>
      </w:r>
      <w:bookmarkEnd w:id="5"/>
      <w:bookmarkEnd w:id="6"/>
      <w:bookmarkEnd w:id="7"/>
    </w:p>
    <w:bookmarkEnd w:id="3"/>
    <w:p>
      <w:pPr>
        <w:spacing w:line="400" w:lineRule="exact"/>
        <w:jc w:val="right"/>
        <w:rPr>
          <w:rFonts w:ascii="Times New Roman" w:hAnsi="Times New Roman" w:eastAsia="宋体"/>
          <w:bCs/>
          <w:iCs/>
          <w:color w:val="000000"/>
          <w:sz w:val="24"/>
        </w:rPr>
      </w:pPr>
      <w:r>
        <w:rPr>
          <w:rFonts w:ascii="Times New Roman" w:hAnsi="Times New Roman" w:eastAsia="宋体"/>
          <w:bCs/>
          <w:iCs/>
          <w:color w:val="000000"/>
          <w:sz w:val="24"/>
        </w:rPr>
        <w:t xml:space="preserve">                                               </w:t>
      </w:r>
      <w:r>
        <w:rPr>
          <w:rFonts w:hint="eastAsia" w:ascii="Times New Roman" w:hAnsi="Times New Roman" w:eastAsia="宋体"/>
          <w:bCs/>
          <w:iCs/>
          <w:color w:val="000000"/>
          <w:sz w:val="24"/>
        </w:rPr>
        <w:t>编号：</w:t>
      </w:r>
      <w:r>
        <w:rPr>
          <w:rFonts w:ascii="Times New Roman" w:hAnsi="Times New Roman" w:eastAsia="宋体"/>
          <w:bCs/>
          <w:iCs/>
          <w:color w:val="000000"/>
          <w:sz w:val="24"/>
        </w:rPr>
        <w:t>2026-</w:t>
      </w:r>
      <w:r>
        <w:rPr>
          <w:rFonts w:hint="eastAsia" w:ascii="Times New Roman" w:hAnsi="Times New Roman" w:eastAsia="宋体"/>
          <w:bCs/>
          <w:iCs/>
          <w:color w:val="000000"/>
          <w:sz w:val="24"/>
        </w:rPr>
        <w:t>08</w:t>
      </w:r>
      <w:r>
        <w:rPr>
          <w:rFonts w:ascii="Times New Roman" w:hAnsi="Times New Roman" w:eastAsia="宋体"/>
          <w:bCs/>
          <w:iCs/>
          <w:color w:val="000000"/>
          <w:sz w:val="24"/>
        </w:rPr>
        <w:t xml:space="preserve">                                                     </w:t>
      </w:r>
    </w:p>
    <w:tbl>
      <w:tblPr>
        <w:tblStyle w:val="12"/>
        <w:tblW w:w="898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6"/>
        <w:gridCol w:w="728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9" w:hRule="atLeast"/>
        </w:trPr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rPr>
                <w:rFonts w:ascii="Times New Roman" w:hAnsi="Times New Roman" w:eastAsia="宋体"/>
                <w:bCs/>
                <w:iCs/>
                <w:color w:val="000000"/>
                <w:sz w:val="24"/>
              </w:rPr>
            </w:pPr>
            <w:r>
              <w:rPr>
                <w:rFonts w:hint="eastAsia" w:ascii="Times New Roman" w:hAnsi="Times New Roman" w:eastAsia="宋体"/>
                <w:b/>
                <w:bCs/>
                <w:iCs/>
                <w:color w:val="000000"/>
                <w:sz w:val="24"/>
              </w:rPr>
              <w:t>投资者关系活动类别</w:t>
            </w:r>
          </w:p>
        </w:tc>
        <w:tc>
          <w:tcPr>
            <w:tcW w:w="7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rPr>
                <w:rFonts w:ascii="Times New Roman" w:hAnsi="Times New Roman" w:eastAsia="宋体"/>
                <w:sz w:val="24"/>
              </w:rPr>
            </w:pPr>
            <w:r>
              <w:rPr>
                <w:rFonts w:ascii="Times New Roman" w:hAnsi="Times New Roman" w:eastAsia="宋体"/>
                <w:bCs/>
                <w:iCs/>
                <w:color w:val="000000"/>
                <w:sz w:val="24"/>
              </w:rPr>
              <w:sym w:font="Wingdings 2" w:char="0052"/>
            </w:r>
            <w:r>
              <w:rPr>
                <w:rFonts w:hint="eastAsia" w:ascii="Times New Roman" w:hAnsi="Times New Roman" w:eastAsia="宋体"/>
                <w:sz w:val="24"/>
              </w:rPr>
              <w:t>特定对象调研</w:t>
            </w:r>
            <w:r>
              <w:rPr>
                <w:rFonts w:ascii="Times New Roman" w:hAnsi="Times New Roman" w:eastAsia="宋体"/>
                <w:sz w:val="24"/>
              </w:rPr>
              <w:t xml:space="preserve">      </w:t>
            </w:r>
            <w:r>
              <w:rPr>
                <w:rFonts w:hint="eastAsia" w:ascii="Times New Roman" w:hAnsi="Times New Roman" w:eastAsia="宋体"/>
                <w:bCs/>
                <w:iCs/>
                <w:color w:val="000000"/>
                <w:sz w:val="24"/>
              </w:rPr>
              <w:t>□</w:t>
            </w:r>
            <w:r>
              <w:rPr>
                <w:rFonts w:hint="eastAsia" w:ascii="Times New Roman" w:hAnsi="Times New Roman" w:eastAsia="宋体"/>
                <w:sz w:val="24"/>
              </w:rPr>
              <w:t>分析师会议</w:t>
            </w:r>
            <w:r>
              <w:rPr>
                <w:rFonts w:ascii="Times New Roman" w:hAnsi="Times New Roman" w:eastAsia="宋体"/>
                <w:bCs/>
                <w:iCs/>
                <w:color w:val="000000"/>
                <w:sz w:val="24"/>
              </w:rPr>
              <w:t xml:space="preserve">        </w:t>
            </w:r>
            <w:r>
              <w:rPr>
                <w:rFonts w:hint="eastAsia" w:ascii="Times New Roman" w:hAnsi="Times New Roman" w:eastAsia="宋体"/>
                <w:bCs/>
                <w:iCs/>
                <w:color w:val="000000"/>
                <w:sz w:val="24"/>
              </w:rPr>
              <w:t>□</w:t>
            </w:r>
            <w:r>
              <w:rPr>
                <w:rFonts w:hint="eastAsia" w:ascii="Times New Roman" w:hAnsi="Times New Roman" w:eastAsia="宋体"/>
                <w:sz w:val="24"/>
              </w:rPr>
              <w:t>媒体采访</w:t>
            </w:r>
          </w:p>
          <w:p>
            <w:pPr>
              <w:spacing w:line="360" w:lineRule="auto"/>
              <w:rPr>
                <w:rFonts w:ascii="Times New Roman" w:hAnsi="Times New Roman" w:eastAsia="宋体"/>
                <w:bCs/>
                <w:iCs/>
                <w:color w:val="000000"/>
                <w:sz w:val="24"/>
              </w:rPr>
            </w:pPr>
            <w:r>
              <w:rPr>
                <w:rFonts w:ascii="Times New Roman" w:hAnsi="Times New Roman" w:eastAsia="宋体"/>
                <w:bCs/>
                <w:iCs/>
                <w:color w:val="000000"/>
                <w:sz w:val="24"/>
              </w:rPr>
              <w:sym w:font="Wingdings 2" w:char="00A3"/>
            </w:r>
            <w:r>
              <w:rPr>
                <w:rFonts w:hint="eastAsia" w:ascii="Times New Roman" w:hAnsi="Times New Roman" w:eastAsia="宋体"/>
                <w:sz w:val="24"/>
              </w:rPr>
              <w:t>业绩说明会</w:t>
            </w:r>
            <w:r>
              <w:rPr>
                <w:rFonts w:ascii="Times New Roman" w:hAnsi="Times New Roman" w:eastAsia="宋体"/>
                <w:bCs/>
                <w:iCs/>
                <w:color w:val="000000"/>
                <w:sz w:val="24"/>
              </w:rPr>
              <w:t xml:space="preserve">        </w:t>
            </w:r>
            <w:r>
              <w:rPr>
                <w:rFonts w:hint="eastAsia" w:ascii="Times New Roman" w:hAnsi="Times New Roman" w:eastAsia="宋体"/>
                <w:bCs/>
                <w:iCs/>
                <w:color w:val="000000"/>
                <w:sz w:val="24"/>
              </w:rPr>
              <w:t>□</w:t>
            </w:r>
            <w:r>
              <w:rPr>
                <w:rFonts w:hint="eastAsia" w:ascii="Times New Roman" w:hAnsi="Times New Roman" w:eastAsia="宋体"/>
                <w:sz w:val="24"/>
              </w:rPr>
              <w:t>新闻发布会</w:t>
            </w:r>
            <w:r>
              <w:rPr>
                <w:rFonts w:ascii="Times New Roman" w:hAnsi="Times New Roman" w:eastAsia="宋体"/>
                <w:sz w:val="24"/>
              </w:rPr>
              <w:t xml:space="preserve">        </w:t>
            </w:r>
            <w:r>
              <w:rPr>
                <w:rFonts w:hint="eastAsia" w:ascii="Times New Roman" w:hAnsi="Times New Roman" w:eastAsia="宋体"/>
                <w:bCs/>
                <w:iCs/>
                <w:color w:val="000000"/>
                <w:sz w:val="24"/>
              </w:rPr>
              <w:t>□</w:t>
            </w:r>
            <w:r>
              <w:rPr>
                <w:rFonts w:hint="eastAsia" w:ascii="Times New Roman" w:hAnsi="Times New Roman" w:eastAsia="宋体"/>
                <w:sz w:val="24"/>
              </w:rPr>
              <w:t>路演活动</w:t>
            </w:r>
          </w:p>
          <w:p>
            <w:pPr>
              <w:tabs>
                <w:tab w:val="left" w:pos="3045"/>
                <w:tab w:val="center" w:pos="3199"/>
              </w:tabs>
              <w:spacing w:line="360" w:lineRule="auto"/>
              <w:rPr>
                <w:rFonts w:ascii="Times New Roman" w:hAnsi="Times New Roman" w:eastAsia="宋体"/>
                <w:bCs/>
                <w:iCs/>
                <w:color w:val="000000"/>
                <w:sz w:val="24"/>
              </w:rPr>
            </w:pPr>
            <w:r>
              <w:rPr>
                <w:rFonts w:hint="eastAsia" w:ascii="Times New Roman" w:hAnsi="Times New Roman" w:eastAsia="宋体"/>
                <w:bCs/>
                <w:iCs/>
                <w:color w:val="000000"/>
                <w:sz w:val="24"/>
              </w:rPr>
              <w:t>□</w:t>
            </w:r>
            <w:r>
              <w:rPr>
                <w:rFonts w:hint="eastAsia" w:ascii="Times New Roman" w:hAnsi="Times New Roman" w:eastAsia="宋体"/>
                <w:sz w:val="24"/>
              </w:rPr>
              <w:t>现场参观</w:t>
            </w:r>
            <w:r>
              <w:rPr>
                <w:rFonts w:ascii="Times New Roman" w:hAnsi="Times New Roman" w:eastAsia="宋体"/>
                <w:bCs/>
                <w:iCs/>
                <w:color w:val="000000"/>
                <w:sz w:val="24"/>
              </w:rPr>
              <w:t xml:space="preserve">          </w:t>
            </w:r>
            <w:r>
              <w:rPr>
                <w:rFonts w:hint="eastAsia" w:ascii="Times New Roman" w:hAnsi="Times New Roman" w:eastAsia="宋体"/>
                <w:bCs/>
                <w:iCs/>
                <w:color w:val="000000"/>
                <w:sz w:val="24"/>
              </w:rPr>
              <w:t>□</w:t>
            </w:r>
            <w:r>
              <w:rPr>
                <w:rFonts w:hint="eastAsia" w:ascii="Times New Roman" w:hAnsi="Times New Roman" w:eastAsia="宋体"/>
                <w:sz w:val="24"/>
              </w:rPr>
              <w:t>其他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rPr>
                <w:rFonts w:ascii="Times New Roman" w:hAnsi="Times New Roman" w:eastAsia="宋体"/>
                <w:b/>
                <w:bCs/>
                <w:iCs/>
                <w:color w:val="000000"/>
                <w:sz w:val="24"/>
              </w:rPr>
            </w:pPr>
            <w:r>
              <w:rPr>
                <w:rFonts w:hint="eastAsia" w:ascii="Times New Roman" w:hAnsi="Times New Roman" w:eastAsia="宋体"/>
                <w:b/>
                <w:bCs/>
                <w:iCs/>
                <w:color w:val="000000"/>
                <w:sz w:val="24"/>
              </w:rPr>
              <w:t>时间及参与单位名称</w:t>
            </w:r>
          </w:p>
        </w:tc>
        <w:tc>
          <w:tcPr>
            <w:tcW w:w="7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rPr>
                <w:rFonts w:ascii="Times New Roman" w:hAnsi="Times New Roman" w:eastAsia="宋体"/>
                <w:bCs/>
                <w:iCs/>
                <w:kern w:val="0"/>
                <w:sz w:val="24"/>
              </w:rPr>
            </w:pPr>
            <w:r>
              <w:rPr>
                <w:rFonts w:ascii="Times New Roman" w:hAnsi="Times New Roman" w:eastAsia="宋体"/>
                <w:b/>
                <w:iCs/>
                <w:kern w:val="0"/>
                <w:sz w:val="24"/>
              </w:rPr>
              <w:t>2026</w:t>
            </w:r>
            <w:r>
              <w:rPr>
                <w:rFonts w:hint="eastAsia" w:ascii="Times New Roman" w:hAnsi="Times New Roman" w:eastAsia="宋体"/>
                <w:b/>
                <w:iCs/>
                <w:kern w:val="0"/>
                <w:sz w:val="24"/>
              </w:rPr>
              <w:t>年8月4日</w:t>
            </w:r>
            <w:r>
              <w:rPr>
                <w:rFonts w:ascii="Times New Roman" w:hAnsi="Times New Roman" w:eastAsia="宋体"/>
                <w:b/>
                <w:iCs/>
                <w:kern w:val="0"/>
                <w:sz w:val="24"/>
              </w:rPr>
              <w:t xml:space="preserve"> </w:t>
            </w:r>
            <w:r>
              <w:rPr>
                <w:rFonts w:hint="eastAsia" w:ascii="Times New Roman" w:hAnsi="Times New Roman" w:eastAsia="宋体"/>
                <w:b/>
                <w:iCs/>
                <w:kern w:val="0"/>
                <w:sz w:val="24"/>
              </w:rPr>
              <w:t>现场会议</w:t>
            </w:r>
            <w:r>
              <w:rPr>
                <w:rFonts w:ascii="Times New Roman" w:hAnsi="Times New Roman" w:eastAsia="宋体"/>
                <w:b/>
                <w:iCs/>
                <w:kern w:val="0"/>
                <w:sz w:val="24"/>
              </w:rPr>
              <w:t xml:space="preserve"> </w:t>
            </w:r>
            <w:r>
              <w:rPr>
                <w:rFonts w:hint="eastAsia" w:ascii="Times New Roman" w:hAnsi="Times New Roman" w:eastAsia="宋体"/>
                <w:bCs/>
                <w:iCs/>
                <w:kern w:val="0"/>
                <w:sz w:val="24"/>
              </w:rPr>
              <w:t>南方基金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</w:trPr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rPr>
                <w:rFonts w:ascii="Times New Roman" w:hAnsi="Times New Roman" w:eastAsia="宋体"/>
                <w:b/>
                <w:bCs/>
                <w:iCs/>
                <w:color w:val="000000"/>
                <w:sz w:val="24"/>
              </w:rPr>
            </w:pPr>
            <w:r>
              <w:rPr>
                <w:rFonts w:hint="eastAsia" w:ascii="Times New Roman" w:hAnsi="Times New Roman" w:eastAsia="宋体"/>
                <w:b/>
                <w:bCs/>
                <w:iCs/>
                <w:color w:val="000000"/>
                <w:sz w:val="24"/>
              </w:rPr>
              <w:t>地点</w:t>
            </w:r>
          </w:p>
        </w:tc>
        <w:tc>
          <w:tcPr>
            <w:tcW w:w="7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rPr>
                <w:rFonts w:ascii="Times New Roman" w:hAnsi="Times New Roman" w:eastAsia="宋体"/>
                <w:bCs/>
                <w:iCs/>
                <w:color w:val="000000"/>
                <w:sz w:val="24"/>
              </w:rPr>
            </w:pPr>
            <w:r>
              <w:rPr>
                <w:rFonts w:hint="eastAsia" w:ascii="Times New Roman" w:hAnsi="Times New Roman" w:eastAsia="宋体"/>
                <w:bCs/>
                <w:iCs/>
                <w:kern w:val="0"/>
                <w:sz w:val="24"/>
              </w:rPr>
              <w:t>厦门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rPr>
                <w:rFonts w:ascii="Times New Roman" w:hAnsi="Times New Roman" w:eastAsia="宋体"/>
                <w:b/>
                <w:bCs/>
                <w:iCs/>
                <w:color w:val="000000"/>
                <w:sz w:val="24"/>
              </w:rPr>
            </w:pPr>
            <w:r>
              <w:rPr>
                <w:rFonts w:hint="eastAsia" w:ascii="Times New Roman" w:hAnsi="Times New Roman" w:eastAsia="宋体"/>
                <w:b/>
                <w:bCs/>
                <w:iCs/>
                <w:color w:val="000000"/>
                <w:sz w:val="24"/>
              </w:rPr>
              <w:t>公司接待人员</w:t>
            </w:r>
          </w:p>
        </w:tc>
        <w:tc>
          <w:tcPr>
            <w:tcW w:w="7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rPr>
                <w:rFonts w:ascii="Times New Roman" w:hAnsi="Times New Roman" w:eastAsia="宋体"/>
                <w:bCs/>
                <w:iCs/>
                <w:color w:val="000000"/>
                <w:sz w:val="24"/>
              </w:rPr>
            </w:pPr>
            <w:r>
              <w:rPr>
                <w:rFonts w:hint="eastAsia" w:ascii="Times New Roman" w:hAnsi="Times New Roman" w:eastAsia="宋体"/>
                <w:bCs/>
                <w:iCs/>
                <w:color w:val="000000"/>
                <w:sz w:val="24"/>
              </w:rPr>
              <w:t>董事长、董事会秘书、董事会办公室、研究所等相关部门负责人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1" w:hRule="atLeast"/>
        </w:trPr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auto"/>
              <w:rPr>
                <w:rFonts w:ascii="Times New Roman" w:hAnsi="Times New Roman" w:eastAsiaTheme="minorEastAsia"/>
                <w:b/>
                <w:bCs/>
                <w:iCs/>
                <w:sz w:val="24"/>
              </w:rPr>
            </w:pPr>
            <w:r>
              <w:rPr>
                <w:rFonts w:hint="eastAsia" w:ascii="Times New Roman" w:hAnsi="Times New Roman" w:eastAsiaTheme="minorEastAsia"/>
                <w:b/>
                <w:bCs/>
                <w:iCs/>
                <w:sz w:val="24"/>
              </w:rPr>
              <w:t>投资者关系活动主要内容介绍</w:t>
            </w:r>
          </w:p>
        </w:tc>
        <w:tc>
          <w:tcPr>
            <w:tcW w:w="72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pStyle w:val="22"/>
              <w:numPr>
                <w:ilvl w:val="255"/>
                <w:numId w:val="0"/>
              </w:numPr>
              <w:spacing w:line="460" w:lineRule="exact"/>
              <w:ind w:firstLine="480"/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1.贵行整体经营效益如何？贵行的收入结构方面有何变化？</w:t>
            </w:r>
          </w:p>
          <w:p>
            <w:pPr>
              <w:pStyle w:val="22"/>
              <w:spacing w:line="460" w:lineRule="exact"/>
              <w:ind w:firstLine="480" w:firstLineChars="0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/>
                <w:iCs/>
                <w:color w:val="000000"/>
                <w:sz w:val="24"/>
                <w:szCs w:val="24"/>
              </w:rPr>
              <w:t>2025年度，公司经营效益稳步提升，实现营业收入58.60亿元，同比增长1.75%；实现利润总额27.70亿元，同比增长1.25%；实现净利润27.52亿元，同比增长1.69%。收入结构方面，2025年度，公司实现利息净收入41.95亿元，同比增长4.74%；净息差收窄幅度较去年同期改善11BP。</w:t>
            </w:r>
            <w:r>
              <w:rPr>
                <w:rFonts w:hint="eastAsia" w:ascii="Segoe UI" w:hAnsi="Segoe UI" w:eastAsia="Segoe UI" w:cs="Segoe UI"/>
                <w:color w:val="0F1115"/>
                <w:sz w:val="24"/>
                <w:szCs w:val="24"/>
                <w:shd w:val="clear" w:color="auto" w:fill="FFFFFF"/>
              </w:rPr>
              <w:t>在LPR持续下行、同业竞争加剧的压力下，公司积极优化资负结构，一方面，有节奏地发力对公一般贷款增量提质，有效减缓资产端收益率下行程度，另一方面，加强低成本存款吸纳、推动存款久期缩短，活期存款日均占比提升2.38个百分点，负债成本率实现显著压降。</w:t>
            </w:r>
            <w:r>
              <w:rPr>
                <w:rFonts w:hint="eastAsia" w:ascii="Times New Roman" w:hAnsi="Times New Roman"/>
                <w:iCs/>
                <w:color w:val="000000"/>
                <w:sz w:val="24"/>
                <w:szCs w:val="24"/>
              </w:rPr>
              <w:t>2026年一季度，公司盈利同比增势良好，实现营业收入15.19亿元，同比增长25.05%，其中实现利息净收入11.62亿元，同比增长23.57%，实现非利息净收入3.57亿元，同比增长30.14%；实现净利润7.28亿元，同比增长9.77%。</w:t>
            </w:r>
          </w:p>
          <w:p>
            <w:pPr>
              <w:pStyle w:val="22"/>
              <w:numPr>
                <w:ilvl w:val="255"/>
                <w:numId w:val="0"/>
              </w:numPr>
              <w:spacing w:line="460" w:lineRule="exact"/>
              <w:ind w:firstLine="480"/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2.在业务规模加快增长的背景下，贵行如何做好规模增长与资本约束之间的平衡？</w:t>
            </w:r>
          </w:p>
          <w:p>
            <w:pPr>
              <w:pStyle w:val="22"/>
              <w:spacing w:line="460" w:lineRule="exact"/>
              <w:ind w:firstLine="480" w:firstLineChars="0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/>
                <w:iCs/>
                <w:color w:val="000000"/>
                <w:sz w:val="24"/>
                <w:szCs w:val="24"/>
              </w:rPr>
              <w:t>2025年公司业务加快增长的同时，始终遵循资本充足和风险可控这一基本前提，包括资本充足率在内的各项监管指标均在安全边界内，满足稳健发展的要求。随着业务的发展，公司风险加权资产（RWA）增速较快、资本充足水平相应有所承压，我们从加强资本管理和推进资本补充两个方面来做好规模、业务发展和资本的平衡。</w:t>
            </w:r>
          </w:p>
          <w:p>
            <w:pPr>
              <w:pStyle w:val="22"/>
              <w:spacing w:line="460" w:lineRule="exact"/>
              <w:ind w:firstLine="480" w:firstLineChars="0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/>
                <w:iCs/>
                <w:color w:val="000000"/>
                <w:sz w:val="24"/>
                <w:szCs w:val="24"/>
              </w:rPr>
              <w:t>一是加强资本管理，优化资产结构，提升资本配置效率。公司持续完善加权风险资产计量与分析体系，健全资本配额管理机制，引导资源向资本占用少、收益高的业务领域倾斜，重点发展财富管理、投资银行等轻资本中间业务。在业务发展过程中，全行不断强化资本节约与资本回报理念。</w:t>
            </w:r>
          </w:p>
          <w:p>
            <w:pPr>
              <w:pStyle w:val="22"/>
              <w:spacing w:line="460" w:lineRule="exact"/>
              <w:ind w:firstLine="480" w:firstLineChars="0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/>
                <w:iCs/>
                <w:color w:val="000000"/>
                <w:sz w:val="24"/>
                <w:szCs w:val="24"/>
              </w:rPr>
              <w:t>二是推进资本补充，涵盖内源性资本积累与外源性资本补充两个层面。内源性资本积累方面，公司营收与利润自2025年起重回双增轨道，2026年一季度继续延续这一趋势。公司从优化净息差、发展中收、加强成本管控等多个维度强化盈利管理，持续提升内源性资本积累能力。外源性资本补充方面，公司正在申请50亿元可转债。当前外源性资本补充仍面临一定制约，但公司将密切跟踪银行再融资政策动态，积极做好资本补充各项工作的推进。</w:t>
            </w:r>
          </w:p>
          <w:p>
            <w:pPr>
              <w:pStyle w:val="22"/>
              <w:numPr>
                <w:ilvl w:val="255"/>
                <w:numId w:val="0"/>
              </w:numPr>
              <w:spacing w:line="460" w:lineRule="exact"/>
              <w:ind w:firstLine="480"/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3.在落实金融“五篇大文章”方面，贵行在绿色金融的产品创新、机制建设上还有哪些具体成果？</w:t>
            </w:r>
          </w:p>
          <w:p>
            <w:pPr>
              <w:pStyle w:val="22"/>
              <w:spacing w:line="460" w:lineRule="exact"/>
              <w:ind w:firstLine="480"/>
              <w:rPr>
                <w:rFonts w:ascii="Times New Roman" w:hAnsi="Times New Roman"/>
                <w:iCs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/>
                <w:iCs/>
                <w:color w:val="000000"/>
                <w:sz w:val="24"/>
                <w:szCs w:val="24"/>
              </w:rPr>
              <w:t>2025年，公司积极响应国家“双碳”目标，深耕绿色重点领域和重点行业，持续创新多元化、契合市场需求的绿色金融产品。公司已开展绿色信贷、绿色债券投资、绿色租赁等业务，并连续成功发行4笔绿色金融债券，规模总计65亿元，重点支持节能环保、清洁生产、清洁能源以及基础设施绿色升级领域。2025年，公司持续丰富绿色金融产品体系，迭代升级拳头产品“光伏贷”，落地行内首笔台资企业蓝色金融+碳排放权质押贷款、生态补偿权贷款等项目。</w:t>
            </w:r>
          </w:p>
          <w:p>
            <w:pPr>
              <w:pStyle w:val="22"/>
              <w:spacing w:line="460" w:lineRule="exact"/>
              <w:ind w:firstLine="480"/>
              <w:rPr>
                <w:rFonts w:ascii="Times New Roman" w:hAnsi="Times New Roman"/>
                <w:iCs/>
                <w:color w:val="000000"/>
                <w:sz w:val="24"/>
              </w:rPr>
            </w:pPr>
            <w:r>
              <w:rPr>
                <w:rFonts w:hint="eastAsia" w:ascii="Times New Roman" w:hAnsi="Times New Roman"/>
                <w:iCs/>
                <w:color w:val="000000"/>
                <w:sz w:val="24"/>
                <w:szCs w:val="24"/>
              </w:rPr>
              <w:t>公司持续完善绿色金融与应对气候变化治理结构和机制，将ESG管理融入全面风险管理体系，建立健全以全面风险管理政策和风险偏好陈述书为纲领，以绿色金融工作方案、授信政策、绿色金融风险管理指引为基础，以业务层面投融资业务、行业政策、客户ESG风险管理、绿色运营及绩效考核为方向的可持续发展（ESG）战略规划制度体系，同时强化急性风险应对机制建设</w:t>
            </w:r>
            <w:bookmarkStart w:id="8" w:name="_GoBack"/>
            <w:bookmarkEnd w:id="8"/>
            <w:r>
              <w:rPr>
                <w:rFonts w:hint="eastAsia" w:ascii="Times New Roman" w:hAnsi="Times New Roman"/>
                <w:iCs/>
                <w:color w:val="000000"/>
                <w:sz w:val="24"/>
                <w:szCs w:val="24"/>
              </w:rPr>
              <w:t>。</w:t>
            </w:r>
          </w:p>
        </w:tc>
      </w:tr>
      <w:bookmarkEnd w:id="0"/>
      <w:bookmarkEnd w:id="1"/>
      <w:bookmarkEnd w:id="2"/>
    </w:tbl>
    <w:p>
      <w:pPr>
        <w:rPr>
          <w:rFonts w:ascii="Times New Roman" w:hAnsi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000FA4"/>
    <w:rsid w:val="00010AF9"/>
    <w:rsid w:val="00012AB6"/>
    <w:rsid w:val="00017E52"/>
    <w:rsid w:val="0002662E"/>
    <w:rsid w:val="000374E5"/>
    <w:rsid w:val="00056E17"/>
    <w:rsid w:val="0007077E"/>
    <w:rsid w:val="00070E57"/>
    <w:rsid w:val="000865C3"/>
    <w:rsid w:val="000915CF"/>
    <w:rsid w:val="00094D1A"/>
    <w:rsid w:val="000960B9"/>
    <w:rsid w:val="000A2087"/>
    <w:rsid w:val="000D5CBE"/>
    <w:rsid w:val="000D76B7"/>
    <w:rsid w:val="00120083"/>
    <w:rsid w:val="00120AE8"/>
    <w:rsid w:val="0012483B"/>
    <w:rsid w:val="0012701E"/>
    <w:rsid w:val="00135452"/>
    <w:rsid w:val="001606FC"/>
    <w:rsid w:val="001670CA"/>
    <w:rsid w:val="00172A27"/>
    <w:rsid w:val="001747CA"/>
    <w:rsid w:val="00175514"/>
    <w:rsid w:val="0017609F"/>
    <w:rsid w:val="001B212A"/>
    <w:rsid w:val="001B2ABC"/>
    <w:rsid w:val="001B7179"/>
    <w:rsid w:val="001C6A12"/>
    <w:rsid w:val="001D437F"/>
    <w:rsid w:val="001D66F6"/>
    <w:rsid w:val="001E3243"/>
    <w:rsid w:val="00207436"/>
    <w:rsid w:val="00211682"/>
    <w:rsid w:val="00220E2F"/>
    <w:rsid w:val="00232311"/>
    <w:rsid w:val="00234EFD"/>
    <w:rsid w:val="00247B45"/>
    <w:rsid w:val="0026288C"/>
    <w:rsid w:val="002635DC"/>
    <w:rsid w:val="00267B38"/>
    <w:rsid w:val="00270456"/>
    <w:rsid w:val="0028137A"/>
    <w:rsid w:val="00290665"/>
    <w:rsid w:val="0029668A"/>
    <w:rsid w:val="002A5E7C"/>
    <w:rsid w:val="002B4940"/>
    <w:rsid w:val="002D2F6F"/>
    <w:rsid w:val="002E664F"/>
    <w:rsid w:val="002F3829"/>
    <w:rsid w:val="003001CA"/>
    <w:rsid w:val="00320B81"/>
    <w:rsid w:val="00320CDD"/>
    <w:rsid w:val="00321BD4"/>
    <w:rsid w:val="00326BE1"/>
    <w:rsid w:val="0036439D"/>
    <w:rsid w:val="003713F1"/>
    <w:rsid w:val="00373703"/>
    <w:rsid w:val="00382744"/>
    <w:rsid w:val="003837F6"/>
    <w:rsid w:val="003C07DD"/>
    <w:rsid w:val="003C3502"/>
    <w:rsid w:val="003C68AD"/>
    <w:rsid w:val="003D0F38"/>
    <w:rsid w:val="003E0254"/>
    <w:rsid w:val="003E10F6"/>
    <w:rsid w:val="00403237"/>
    <w:rsid w:val="004077D5"/>
    <w:rsid w:val="00416F59"/>
    <w:rsid w:val="00426705"/>
    <w:rsid w:val="00445BB0"/>
    <w:rsid w:val="00461E9B"/>
    <w:rsid w:val="00496DD5"/>
    <w:rsid w:val="004A317C"/>
    <w:rsid w:val="004A7354"/>
    <w:rsid w:val="004A7CA0"/>
    <w:rsid w:val="004B363C"/>
    <w:rsid w:val="004C3B70"/>
    <w:rsid w:val="004E4DA1"/>
    <w:rsid w:val="004F3126"/>
    <w:rsid w:val="005063C5"/>
    <w:rsid w:val="0052204F"/>
    <w:rsid w:val="005275C2"/>
    <w:rsid w:val="00527972"/>
    <w:rsid w:val="00535FC0"/>
    <w:rsid w:val="005368E3"/>
    <w:rsid w:val="005448C7"/>
    <w:rsid w:val="00550E4B"/>
    <w:rsid w:val="00560778"/>
    <w:rsid w:val="00570264"/>
    <w:rsid w:val="005A5B76"/>
    <w:rsid w:val="005C6DB0"/>
    <w:rsid w:val="00603E82"/>
    <w:rsid w:val="00610104"/>
    <w:rsid w:val="006216D4"/>
    <w:rsid w:val="00633D6E"/>
    <w:rsid w:val="006460EF"/>
    <w:rsid w:val="00646111"/>
    <w:rsid w:val="006523D8"/>
    <w:rsid w:val="00664EE9"/>
    <w:rsid w:val="006818F9"/>
    <w:rsid w:val="00691943"/>
    <w:rsid w:val="006A3240"/>
    <w:rsid w:val="006A4D81"/>
    <w:rsid w:val="006C3B27"/>
    <w:rsid w:val="006E2B18"/>
    <w:rsid w:val="006E46D6"/>
    <w:rsid w:val="006F21D2"/>
    <w:rsid w:val="006F6419"/>
    <w:rsid w:val="00701E12"/>
    <w:rsid w:val="007021F0"/>
    <w:rsid w:val="007123BE"/>
    <w:rsid w:val="00712441"/>
    <w:rsid w:val="007416B9"/>
    <w:rsid w:val="00761EA7"/>
    <w:rsid w:val="00765A2E"/>
    <w:rsid w:val="00767A4B"/>
    <w:rsid w:val="007814C6"/>
    <w:rsid w:val="00786C57"/>
    <w:rsid w:val="007A1202"/>
    <w:rsid w:val="007E5C96"/>
    <w:rsid w:val="00803AFA"/>
    <w:rsid w:val="008048E1"/>
    <w:rsid w:val="008129A6"/>
    <w:rsid w:val="008168B4"/>
    <w:rsid w:val="00821EF4"/>
    <w:rsid w:val="00841136"/>
    <w:rsid w:val="008479D6"/>
    <w:rsid w:val="00862D39"/>
    <w:rsid w:val="00866811"/>
    <w:rsid w:val="00877250"/>
    <w:rsid w:val="00884803"/>
    <w:rsid w:val="00886535"/>
    <w:rsid w:val="00887E15"/>
    <w:rsid w:val="008979E4"/>
    <w:rsid w:val="008A62BB"/>
    <w:rsid w:val="008B5D1F"/>
    <w:rsid w:val="008C7D83"/>
    <w:rsid w:val="009076CD"/>
    <w:rsid w:val="00920724"/>
    <w:rsid w:val="00934C25"/>
    <w:rsid w:val="00935318"/>
    <w:rsid w:val="009611D4"/>
    <w:rsid w:val="00990948"/>
    <w:rsid w:val="00991DBA"/>
    <w:rsid w:val="009D7A16"/>
    <w:rsid w:val="009E4C86"/>
    <w:rsid w:val="009E6D7D"/>
    <w:rsid w:val="00A02869"/>
    <w:rsid w:val="00A10A28"/>
    <w:rsid w:val="00A5429A"/>
    <w:rsid w:val="00A6764C"/>
    <w:rsid w:val="00A80D1A"/>
    <w:rsid w:val="00A814F8"/>
    <w:rsid w:val="00A85DF0"/>
    <w:rsid w:val="00A97003"/>
    <w:rsid w:val="00AB2C92"/>
    <w:rsid w:val="00AC2442"/>
    <w:rsid w:val="00AC2FA0"/>
    <w:rsid w:val="00AD0D20"/>
    <w:rsid w:val="00AD226B"/>
    <w:rsid w:val="00AD6116"/>
    <w:rsid w:val="00AE1959"/>
    <w:rsid w:val="00AE6F23"/>
    <w:rsid w:val="00AF2302"/>
    <w:rsid w:val="00AF3539"/>
    <w:rsid w:val="00AF3C50"/>
    <w:rsid w:val="00AF42F3"/>
    <w:rsid w:val="00AF5FBE"/>
    <w:rsid w:val="00B07DAF"/>
    <w:rsid w:val="00B23959"/>
    <w:rsid w:val="00B24A2C"/>
    <w:rsid w:val="00B409BC"/>
    <w:rsid w:val="00B510FA"/>
    <w:rsid w:val="00B72D74"/>
    <w:rsid w:val="00B779CF"/>
    <w:rsid w:val="00B85459"/>
    <w:rsid w:val="00B85634"/>
    <w:rsid w:val="00B95A2D"/>
    <w:rsid w:val="00BB1853"/>
    <w:rsid w:val="00BB4731"/>
    <w:rsid w:val="00BB6CDC"/>
    <w:rsid w:val="00BE4725"/>
    <w:rsid w:val="00BE6CF1"/>
    <w:rsid w:val="00BF547B"/>
    <w:rsid w:val="00BF707F"/>
    <w:rsid w:val="00C07040"/>
    <w:rsid w:val="00C21162"/>
    <w:rsid w:val="00C27C54"/>
    <w:rsid w:val="00C3197B"/>
    <w:rsid w:val="00C62E73"/>
    <w:rsid w:val="00C77883"/>
    <w:rsid w:val="00C832D3"/>
    <w:rsid w:val="00CB3778"/>
    <w:rsid w:val="00CC5C34"/>
    <w:rsid w:val="00CD6D89"/>
    <w:rsid w:val="00CE3CDE"/>
    <w:rsid w:val="00CE4580"/>
    <w:rsid w:val="00CF36D1"/>
    <w:rsid w:val="00D03944"/>
    <w:rsid w:val="00D078F3"/>
    <w:rsid w:val="00D227CE"/>
    <w:rsid w:val="00D2553B"/>
    <w:rsid w:val="00D260E1"/>
    <w:rsid w:val="00D46CC5"/>
    <w:rsid w:val="00D7022F"/>
    <w:rsid w:val="00D73204"/>
    <w:rsid w:val="00D837F5"/>
    <w:rsid w:val="00D860E0"/>
    <w:rsid w:val="00D9187D"/>
    <w:rsid w:val="00DA4FC7"/>
    <w:rsid w:val="00DB23D6"/>
    <w:rsid w:val="00DB4378"/>
    <w:rsid w:val="00DC21BF"/>
    <w:rsid w:val="00DC2245"/>
    <w:rsid w:val="00DC692F"/>
    <w:rsid w:val="00DE6B5E"/>
    <w:rsid w:val="00DE6B9C"/>
    <w:rsid w:val="00DF0553"/>
    <w:rsid w:val="00E03023"/>
    <w:rsid w:val="00E3527B"/>
    <w:rsid w:val="00E65E57"/>
    <w:rsid w:val="00E73EC4"/>
    <w:rsid w:val="00E868EC"/>
    <w:rsid w:val="00EA2344"/>
    <w:rsid w:val="00EB4CFF"/>
    <w:rsid w:val="00ED1315"/>
    <w:rsid w:val="00EE18C5"/>
    <w:rsid w:val="00EE1BEE"/>
    <w:rsid w:val="00EE4F1A"/>
    <w:rsid w:val="00F026E0"/>
    <w:rsid w:val="00F10BB8"/>
    <w:rsid w:val="00F2226E"/>
    <w:rsid w:val="00F24494"/>
    <w:rsid w:val="00F413E1"/>
    <w:rsid w:val="00F430C2"/>
    <w:rsid w:val="00F74796"/>
    <w:rsid w:val="00F94AA0"/>
    <w:rsid w:val="00FA0123"/>
    <w:rsid w:val="00FA721E"/>
    <w:rsid w:val="00FC3B2D"/>
    <w:rsid w:val="00FE1F2C"/>
    <w:rsid w:val="01343C35"/>
    <w:rsid w:val="015441BC"/>
    <w:rsid w:val="01D812F0"/>
    <w:rsid w:val="01DF79C5"/>
    <w:rsid w:val="022F6C02"/>
    <w:rsid w:val="0250064D"/>
    <w:rsid w:val="025B0BD4"/>
    <w:rsid w:val="02B62AFF"/>
    <w:rsid w:val="034D18B2"/>
    <w:rsid w:val="03E203E0"/>
    <w:rsid w:val="03EF7383"/>
    <w:rsid w:val="04572A8F"/>
    <w:rsid w:val="04844854"/>
    <w:rsid w:val="04895DFF"/>
    <w:rsid w:val="04CA4768"/>
    <w:rsid w:val="051340F3"/>
    <w:rsid w:val="05EC3946"/>
    <w:rsid w:val="06AC0501"/>
    <w:rsid w:val="073161DB"/>
    <w:rsid w:val="07504EC1"/>
    <w:rsid w:val="07736C45"/>
    <w:rsid w:val="07872210"/>
    <w:rsid w:val="07F05315"/>
    <w:rsid w:val="08E67AA9"/>
    <w:rsid w:val="09187348"/>
    <w:rsid w:val="09FF5075"/>
    <w:rsid w:val="0A170DDB"/>
    <w:rsid w:val="0A1F7DCE"/>
    <w:rsid w:val="0A7375B2"/>
    <w:rsid w:val="0ACB7D6D"/>
    <w:rsid w:val="0C1E2070"/>
    <w:rsid w:val="0C275F3F"/>
    <w:rsid w:val="0C3B6B9E"/>
    <w:rsid w:val="0C922E30"/>
    <w:rsid w:val="0CD949B1"/>
    <w:rsid w:val="0D53094C"/>
    <w:rsid w:val="0DF748F5"/>
    <w:rsid w:val="0E4448F3"/>
    <w:rsid w:val="0E5E2860"/>
    <w:rsid w:val="0EBC43EC"/>
    <w:rsid w:val="0F231667"/>
    <w:rsid w:val="0FD56096"/>
    <w:rsid w:val="106172ED"/>
    <w:rsid w:val="11027246"/>
    <w:rsid w:val="11883E00"/>
    <w:rsid w:val="11B6183C"/>
    <w:rsid w:val="12460407"/>
    <w:rsid w:val="12E64FF5"/>
    <w:rsid w:val="12EE053A"/>
    <w:rsid w:val="131818EE"/>
    <w:rsid w:val="1381018F"/>
    <w:rsid w:val="13BB777D"/>
    <w:rsid w:val="13CE280D"/>
    <w:rsid w:val="141862B2"/>
    <w:rsid w:val="14322531"/>
    <w:rsid w:val="14D25167"/>
    <w:rsid w:val="14F055D6"/>
    <w:rsid w:val="14F212EA"/>
    <w:rsid w:val="15652DAA"/>
    <w:rsid w:val="16501227"/>
    <w:rsid w:val="175D17CA"/>
    <w:rsid w:val="17B473C2"/>
    <w:rsid w:val="17D271A5"/>
    <w:rsid w:val="17D77DA9"/>
    <w:rsid w:val="18006524"/>
    <w:rsid w:val="180A72FE"/>
    <w:rsid w:val="182868AE"/>
    <w:rsid w:val="18455E27"/>
    <w:rsid w:val="18831547"/>
    <w:rsid w:val="18893450"/>
    <w:rsid w:val="1979128B"/>
    <w:rsid w:val="19CA7222"/>
    <w:rsid w:val="1A8B0292"/>
    <w:rsid w:val="1B9F7CA6"/>
    <w:rsid w:val="1BE8708F"/>
    <w:rsid w:val="1C9054E9"/>
    <w:rsid w:val="1C9E2411"/>
    <w:rsid w:val="1D41310E"/>
    <w:rsid w:val="1D6B06CF"/>
    <w:rsid w:val="1D6D3BD2"/>
    <w:rsid w:val="1DE21613"/>
    <w:rsid w:val="1DF63666"/>
    <w:rsid w:val="1E0D0FBE"/>
    <w:rsid w:val="1E364920"/>
    <w:rsid w:val="1EC83421"/>
    <w:rsid w:val="1F330F55"/>
    <w:rsid w:val="1F6E6131"/>
    <w:rsid w:val="1FA228EE"/>
    <w:rsid w:val="201E1530"/>
    <w:rsid w:val="20F84124"/>
    <w:rsid w:val="21452025"/>
    <w:rsid w:val="21B76AE0"/>
    <w:rsid w:val="21D5653F"/>
    <w:rsid w:val="21E27DCE"/>
    <w:rsid w:val="221E0366"/>
    <w:rsid w:val="22D6753F"/>
    <w:rsid w:val="23110016"/>
    <w:rsid w:val="23620D1A"/>
    <w:rsid w:val="237B3E42"/>
    <w:rsid w:val="23A32E08"/>
    <w:rsid w:val="246C2851"/>
    <w:rsid w:val="247509BC"/>
    <w:rsid w:val="247C2AEC"/>
    <w:rsid w:val="249B0E74"/>
    <w:rsid w:val="24B1643E"/>
    <w:rsid w:val="24F87EB7"/>
    <w:rsid w:val="25CF4697"/>
    <w:rsid w:val="26407E4E"/>
    <w:rsid w:val="269D6920"/>
    <w:rsid w:val="26C40D95"/>
    <w:rsid w:val="272922EB"/>
    <w:rsid w:val="27424579"/>
    <w:rsid w:val="274E038B"/>
    <w:rsid w:val="27E078FA"/>
    <w:rsid w:val="283B0F0D"/>
    <w:rsid w:val="28660E58"/>
    <w:rsid w:val="28B50BD7"/>
    <w:rsid w:val="28E76302"/>
    <w:rsid w:val="29263821"/>
    <w:rsid w:val="294C43FF"/>
    <w:rsid w:val="298978D0"/>
    <w:rsid w:val="2A234631"/>
    <w:rsid w:val="2A3C0BEA"/>
    <w:rsid w:val="2AA9450A"/>
    <w:rsid w:val="2ACC1EE6"/>
    <w:rsid w:val="2C645E65"/>
    <w:rsid w:val="2D78169F"/>
    <w:rsid w:val="2ECC35BD"/>
    <w:rsid w:val="2F782E8B"/>
    <w:rsid w:val="2F874408"/>
    <w:rsid w:val="2FAB664D"/>
    <w:rsid w:val="2FCE2CA3"/>
    <w:rsid w:val="305A367F"/>
    <w:rsid w:val="30A45AD9"/>
    <w:rsid w:val="30ED1DF0"/>
    <w:rsid w:val="32181796"/>
    <w:rsid w:val="32927883"/>
    <w:rsid w:val="32E0414D"/>
    <w:rsid w:val="32FA4B9F"/>
    <w:rsid w:val="33637BDB"/>
    <w:rsid w:val="33C17F75"/>
    <w:rsid w:val="34741569"/>
    <w:rsid w:val="34C37DE1"/>
    <w:rsid w:val="35F1547D"/>
    <w:rsid w:val="373D66F1"/>
    <w:rsid w:val="374E17CB"/>
    <w:rsid w:val="37691FF5"/>
    <w:rsid w:val="3793297C"/>
    <w:rsid w:val="37A32ECD"/>
    <w:rsid w:val="37AB1B65"/>
    <w:rsid w:val="37C001F2"/>
    <w:rsid w:val="38161214"/>
    <w:rsid w:val="38192198"/>
    <w:rsid w:val="3831361A"/>
    <w:rsid w:val="3870436D"/>
    <w:rsid w:val="38FE3710"/>
    <w:rsid w:val="39123BB1"/>
    <w:rsid w:val="39324E64"/>
    <w:rsid w:val="398A41CF"/>
    <w:rsid w:val="39D8513B"/>
    <w:rsid w:val="39F178D8"/>
    <w:rsid w:val="3BB52984"/>
    <w:rsid w:val="3BCE0D76"/>
    <w:rsid w:val="3C2105FF"/>
    <w:rsid w:val="3C2B5E46"/>
    <w:rsid w:val="3C677B59"/>
    <w:rsid w:val="3C812767"/>
    <w:rsid w:val="3CFB3440"/>
    <w:rsid w:val="3D065366"/>
    <w:rsid w:val="3D734CA5"/>
    <w:rsid w:val="3DED5A53"/>
    <w:rsid w:val="3EAE3767"/>
    <w:rsid w:val="3F150D8C"/>
    <w:rsid w:val="40D35124"/>
    <w:rsid w:val="40E6578E"/>
    <w:rsid w:val="41064298"/>
    <w:rsid w:val="411C36E0"/>
    <w:rsid w:val="4176014F"/>
    <w:rsid w:val="42615CCA"/>
    <w:rsid w:val="42680F26"/>
    <w:rsid w:val="43CC374D"/>
    <w:rsid w:val="43F55B69"/>
    <w:rsid w:val="444631D1"/>
    <w:rsid w:val="44970113"/>
    <w:rsid w:val="44A57770"/>
    <w:rsid w:val="44B32884"/>
    <w:rsid w:val="44CA2EEC"/>
    <w:rsid w:val="44EC107E"/>
    <w:rsid w:val="452A1AEE"/>
    <w:rsid w:val="45726E6D"/>
    <w:rsid w:val="457345FE"/>
    <w:rsid w:val="45CA5863"/>
    <w:rsid w:val="465935F7"/>
    <w:rsid w:val="46B0341C"/>
    <w:rsid w:val="475A449F"/>
    <w:rsid w:val="47745049"/>
    <w:rsid w:val="478C4E3C"/>
    <w:rsid w:val="47A43767"/>
    <w:rsid w:val="47AE390E"/>
    <w:rsid w:val="485559BC"/>
    <w:rsid w:val="491856F9"/>
    <w:rsid w:val="493417A6"/>
    <w:rsid w:val="498C100B"/>
    <w:rsid w:val="49AB04EC"/>
    <w:rsid w:val="4A015677"/>
    <w:rsid w:val="4A416461"/>
    <w:rsid w:val="4A586086"/>
    <w:rsid w:val="4A7C1DA2"/>
    <w:rsid w:val="4A8A3CC5"/>
    <w:rsid w:val="4AC2736B"/>
    <w:rsid w:val="4B702179"/>
    <w:rsid w:val="4BB46342"/>
    <w:rsid w:val="4BF623B7"/>
    <w:rsid w:val="4C0A34CE"/>
    <w:rsid w:val="4C243DC7"/>
    <w:rsid w:val="4C794E06"/>
    <w:rsid w:val="4D144D0B"/>
    <w:rsid w:val="4D377BF5"/>
    <w:rsid w:val="4D5153DD"/>
    <w:rsid w:val="4D570F71"/>
    <w:rsid w:val="4D572B44"/>
    <w:rsid w:val="4D67120C"/>
    <w:rsid w:val="4DF34673"/>
    <w:rsid w:val="4E080D95"/>
    <w:rsid w:val="4E326C84"/>
    <w:rsid w:val="4E3C24E9"/>
    <w:rsid w:val="4E4E2408"/>
    <w:rsid w:val="4F1C538E"/>
    <w:rsid w:val="4F2B7952"/>
    <w:rsid w:val="4F5A77A5"/>
    <w:rsid w:val="4F5F1347"/>
    <w:rsid w:val="4FD00101"/>
    <w:rsid w:val="503C7AAB"/>
    <w:rsid w:val="50840506"/>
    <w:rsid w:val="50F413DD"/>
    <w:rsid w:val="51E909F0"/>
    <w:rsid w:val="51F55A16"/>
    <w:rsid w:val="51FB77C6"/>
    <w:rsid w:val="527D1264"/>
    <w:rsid w:val="53404825"/>
    <w:rsid w:val="5354435E"/>
    <w:rsid w:val="53813090"/>
    <w:rsid w:val="53D22156"/>
    <w:rsid w:val="54281796"/>
    <w:rsid w:val="54422AC8"/>
    <w:rsid w:val="548B3542"/>
    <w:rsid w:val="54FC685C"/>
    <w:rsid w:val="55583378"/>
    <w:rsid w:val="557575CC"/>
    <w:rsid w:val="55802B56"/>
    <w:rsid w:val="55B347D2"/>
    <w:rsid w:val="56162CC9"/>
    <w:rsid w:val="56827DFA"/>
    <w:rsid w:val="569A4429"/>
    <w:rsid w:val="56D16FAA"/>
    <w:rsid w:val="571D387C"/>
    <w:rsid w:val="57593233"/>
    <w:rsid w:val="57EA769F"/>
    <w:rsid w:val="58234804"/>
    <w:rsid w:val="583E0E16"/>
    <w:rsid w:val="587B59B6"/>
    <w:rsid w:val="58C46118"/>
    <w:rsid w:val="58F70910"/>
    <w:rsid w:val="5957661E"/>
    <w:rsid w:val="59BB6342"/>
    <w:rsid w:val="59DB4679"/>
    <w:rsid w:val="5A2D0246"/>
    <w:rsid w:val="5A2F4103"/>
    <w:rsid w:val="5A87311A"/>
    <w:rsid w:val="5AF53A87"/>
    <w:rsid w:val="5B327C0A"/>
    <w:rsid w:val="5B6372BA"/>
    <w:rsid w:val="5BAB1071"/>
    <w:rsid w:val="5BCB6169"/>
    <w:rsid w:val="5BE34A4E"/>
    <w:rsid w:val="5C7E26CE"/>
    <w:rsid w:val="5CE9292E"/>
    <w:rsid w:val="5D3959B1"/>
    <w:rsid w:val="5DCA5FA9"/>
    <w:rsid w:val="5E521D73"/>
    <w:rsid w:val="5F3E2C00"/>
    <w:rsid w:val="5FA2737C"/>
    <w:rsid w:val="5FE96E67"/>
    <w:rsid w:val="606D714B"/>
    <w:rsid w:val="60732927"/>
    <w:rsid w:val="608D2FCC"/>
    <w:rsid w:val="60C110C9"/>
    <w:rsid w:val="60E21846"/>
    <w:rsid w:val="60F46C91"/>
    <w:rsid w:val="60FE69AF"/>
    <w:rsid w:val="6131159B"/>
    <w:rsid w:val="61657B33"/>
    <w:rsid w:val="61A067CD"/>
    <w:rsid w:val="62026F36"/>
    <w:rsid w:val="6345240D"/>
    <w:rsid w:val="63467514"/>
    <w:rsid w:val="644D0143"/>
    <w:rsid w:val="64860031"/>
    <w:rsid w:val="64973A5A"/>
    <w:rsid w:val="64C44A96"/>
    <w:rsid w:val="64E1366E"/>
    <w:rsid w:val="6553674D"/>
    <w:rsid w:val="65C22480"/>
    <w:rsid w:val="66007D67"/>
    <w:rsid w:val="66295856"/>
    <w:rsid w:val="66726157"/>
    <w:rsid w:val="67C21B9B"/>
    <w:rsid w:val="67D9593F"/>
    <w:rsid w:val="67E54704"/>
    <w:rsid w:val="682A60F2"/>
    <w:rsid w:val="682D4AF8"/>
    <w:rsid w:val="68E36708"/>
    <w:rsid w:val="69405A1D"/>
    <w:rsid w:val="695D4175"/>
    <w:rsid w:val="6A057CE5"/>
    <w:rsid w:val="6A190E9F"/>
    <w:rsid w:val="6A8504D0"/>
    <w:rsid w:val="6AD05952"/>
    <w:rsid w:val="6B065C4D"/>
    <w:rsid w:val="6B344DF0"/>
    <w:rsid w:val="6B391278"/>
    <w:rsid w:val="6B922F60"/>
    <w:rsid w:val="6BA32EA6"/>
    <w:rsid w:val="6C117390"/>
    <w:rsid w:val="6C313EC9"/>
    <w:rsid w:val="6C8247A4"/>
    <w:rsid w:val="6CD824B2"/>
    <w:rsid w:val="6D1945D1"/>
    <w:rsid w:val="6DA951F4"/>
    <w:rsid w:val="6E0A58FC"/>
    <w:rsid w:val="6E2476C2"/>
    <w:rsid w:val="6F9A0528"/>
    <w:rsid w:val="6F9F49B0"/>
    <w:rsid w:val="6FD54E8A"/>
    <w:rsid w:val="70206657"/>
    <w:rsid w:val="7022012B"/>
    <w:rsid w:val="70562CE7"/>
    <w:rsid w:val="711A1C9E"/>
    <w:rsid w:val="71411B5D"/>
    <w:rsid w:val="715C2428"/>
    <w:rsid w:val="715F6CDB"/>
    <w:rsid w:val="71C6563A"/>
    <w:rsid w:val="71CA0EB0"/>
    <w:rsid w:val="720D141A"/>
    <w:rsid w:val="7255784F"/>
    <w:rsid w:val="7295499B"/>
    <w:rsid w:val="72A204A0"/>
    <w:rsid w:val="72C26316"/>
    <w:rsid w:val="73177E6E"/>
    <w:rsid w:val="73326919"/>
    <w:rsid w:val="73892D1C"/>
    <w:rsid w:val="744318F3"/>
    <w:rsid w:val="749331CE"/>
    <w:rsid w:val="74D44721"/>
    <w:rsid w:val="75AB309B"/>
    <w:rsid w:val="761558C9"/>
    <w:rsid w:val="768C460E"/>
    <w:rsid w:val="76BB1740"/>
    <w:rsid w:val="76CF1C1E"/>
    <w:rsid w:val="773B56AB"/>
    <w:rsid w:val="774D5922"/>
    <w:rsid w:val="77726C62"/>
    <w:rsid w:val="77C2468B"/>
    <w:rsid w:val="77C71871"/>
    <w:rsid w:val="77CF011D"/>
    <w:rsid w:val="78160D2B"/>
    <w:rsid w:val="782A4D5D"/>
    <w:rsid w:val="782D2F68"/>
    <w:rsid w:val="788F4CD8"/>
    <w:rsid w:val="79194C3C"/>
    <w:rsid w:val="797265CF"/>
    <w:rsid w:val="79E92285"/>
    <w:rsid w:val="79EF26F4"/>
    <w:rsid w:val="7A0A5919"/>
    <w:rsid w:val="7A2465E9"/>
    <w:rsid w:val="7A5A51A5"/>
    <w:rsid w:val="7A8F5AA2"/>
    <w:rsid w:val="7B0E3DF2"/>
    <w:rsid w:val="7B4B2CFB"/>
    <w:rsid w:val="7BD44AB5"/>
    <w:rsid w:val="7C0C4D1D"/>
    <w:rsid w:val="7C282F2D"/>
    <w:rsid w:val="7C6A62AD"/>
    <w:rsid w:val="7C7236B9"/>
    <w:rsid w:val="7C7C44BA"/>
    <w:rsid w:val="7CE628FB"/>
    <w:rsid w:val="7D4B7DB3"/>
    <w:rsid w:val="7D5676DD"/>
    <w:rsid w:val="7E32042F"/>
    <w:rsid w:val="7E6D0694"/>
    <w:rsid w:val="7E75126E"/>
    <w:rsid w:val="7E9B37B2"/>
    <w:rsid w:val="7EB10D15"/>
    <w:rsid w:val="7EF377C6"/>
    <w:rsid w:val="7F0B342C"/>
    <w:rsid w:val="7F370E72"/>
    <w:rsid w:val="7F5A30FD"/>
    <w:rsid w:val="7F6310E9"/>
    <w:rsid w:val="7F9E1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qFormat="1" w:unhideWhenUsed="0" w:uiPriority="0" w:semiHidden="0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iPriority="99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微软雅黑" w:cs="Times New Roman"/>
      <w:kern w:val="2"/>
      <w:sz w:val="21"/>
      <w:szCs w:val="24"/>
      <w:lang w:val="en-US" w:eastAsia="zh-CN" w:bidi="ar-SA"/>
    </w:rPr>
  </w:style>
  <w:style w:type="character" w:default="1" w:styleId="13">
    <w:name w:val="Default Paragraph Font"/>
    <w:semiHidden/>
    <w:unhideWhenUsed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next w:val="3"/>
    <w:qFormat/>
    <w:uiPriority w:val="0"/>
    <w:pPr>
      <w:ind w:firstLine="420" w:firstLineChars="200"/>
      <w:outlineLvl w:val="3"/>
    </w:pPr>
    <w:rPr>
      <w:rFonts w:ascii="宋体" w:hAnsi="宋体"/>
      <w:bCs/>
      <w:kern w:val="0"/>
      <w:sz w:val="20"/>
      <w:szCs w:val="20"/>
      <w:lang w:val="en-GB"/>
    </w:rPr>
  </w:style>
  <w:style w:type="paragraph" w:styleId="3">
    <w:name w:val="Body Text First Indent 2"/>
    <w:basedOn w:val="2"/>
    <w:next w:val="4"/>
    <w:qFormat/>
    <w:uiPriority w:val="0"/>
  </w:style>
  <w:style w:type="paragraph" w:styleId="4">
    <w:name w:val="Body Text"/>
    <w:basedOn w:val="1"/>
    <w:next w:val="2"/>
    <w:semiHidden/>
    <w:qFormat/>
    <w:uiPriority w:val="0"/>
    <w:rPr>
      <w:rFonts w:ascii="仿宋" w:hAnsi="仿宋" w:eastAsia="仿宋" w:cs="仿宋"/>
      <w:sz w:val="31"/>
      <w:szCs w:val="31"/>
      <w:lang w:eastAsia="en-US"/>
    </w:rPr>
  </w:style>
  <w:style w:type="paragraph" w:styleId="5">
    <w:name w:val="annotation text"/>
    <w:basedOn w:val="1"/>
    <w:link w:val="19"/>
    <w:semiHidden/>
    <w:unhideWhenUsed/>
    <w:qFormat/>
    <w:uiPriority w:val="99"/>
    <w:pPr>
      <w:jc w:val="left"/>
    </w:pPr>
  </w:style>
  <w:style w:type="paragraph" w:styleId="6">
    <w:name w:val="Block Text"/>
    <w:basedOn w:val="1"/>
    <w:next w:val="1"/>
    <w:qFormat/>
    <w:uiPriority w:val="0"/>
    <w:pPr>
      <w:snapToGrid w:val="0"/>
      <w:spacing w:after="160" w:line="360" w:lineRule="auto"/>
      <w:ind w:left="-15" w:right="103" w:firstLine="447"/>
      <w:jc w:val="left"/>
    </w:pPr>
    <w:rPr>
      <w:rFonts w:ascii="宋体" w:hAnsi="宋体" w:eastAsiaTheme="minorEastAsia" w:cstheme="minorBidi"/>
      <w:spacing w:val="-2"/>
      <w:sz w:val="24"/>
      <w:szCs w:val="20"/>
      <w14:ligatures w14:val="standardContextual"/>
    </w:rPr>
  </w:style>
  <w:style w:type="paragraph" w:styleId="7">
    <w:name w:val="Plain Text"/>
    <w:basedOn w:val="1"/>
    <w:unhideWhenUsed/>
    <w:qFormat/>
    <w:uiPriority w:val="99"/>
    <w:rPr>
      <w:rFonts w:hAnsi="Courier New" w:cs="Courier New" w:asciiTheme="minorEastAsia"/>
    </w:rPr>
  </w:style>
  <w:style w:type="paragraph" w:styleId="8">
    <w:name w:val="Balloon Text"/>
    <w:basedOn w:val="1"/>
    <w:link w:val="21"/>
    <w:semiHidden/>
    <w:unhideWhenUsed/>
    <w:qFormat/>
    <w:uiPriority w:val="99"/>
    <w:rPr>
      <w:sz w:val="18"/>
      <w:szCs w:val="18"/>
    </w:rPr>
  </w:style>
  <w:style w:type="paragraph" w:styleId="9">
    <w:name w:val="footer"/>
    <w:basedOn w:val="1"/>
    <w:link w:val="1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10">
    <w:name w:val="header"/>
    <w:basedOn w:val="1"/>
    <w:link w:val="1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11">
    <w:name w:val="annotation subject"/>
    <w:basedOn w:val="5"/>
    <w:next w:val="5"/>
    <w:link w:val="20"/>
    <w:semiHidden/>
    <w:unhideWhenUsed/>
    <w:qFormat/>
    <w:uiPriority w:val="99"/>
    <w:rPr>
      <w:b/>
      <w:bCs/>
    </w:rPr>
  </w:style>
  <w:style w:type="character" w:styleId="14">
    <w:name w:val="Hyperlink"/>
    <w:basedOn w:val="13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15">
    <w:name w:val="annotation reference"/>
    <w:basedOn w:val="13"/>
    <w:semiHidden/>
    <w:unhideWhenUsed/>
    <w:qFormat/>
    <w:uiPriority w:val="99"/>
    <w:rPr>
      <w:sz w:val="21"/>
      <w:szCs w:val="21"/>
    </w:rPr>
  </w:style>
  <w:style w:type="character" w:customStyle="1" w:styleId="16">
    <w:name w:val="页眉 Char"/>
    <w:basedOn w:val="13"/>
    <w:link w:val="10"/>
    <w:qFormat/>
    <w:uiPriority w:val="99"/>
    <w:rPr>
      <w:sz w:val="18"/>
      <w:szCs w:val="18"/>
    </w:rPr>
  </w:style>
  <w:style w:type="character" w:customStyle="1" w:styleId="17">
    <w:name w:val="页脚 Char"/>
    <w:basedOn w:val="13"/>
    <w:link w:val="9"/>
    <w:qFormat/>
    <w:uiPriority w:val="99"/>
    <w:rPr>
      <w:sz w:val="18"/>
      <w:szCs w:val="18"/>
    </w:rPr>
  </w:style>
  <w:style w:type="paragraph" w:styleId="18">
    <w:name w:val="No Spacing"/>
    <w:qFormat/>
    <w:uiPriority w:val="1"/>
    <w:pPr>
      <w:widowControl w:val="0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character" w:customStyle="1" w:styleId="19">
    <w:name w:val="批注文字 Char"/>
    <w:basedOn w:val="13"/>
    <w:link w:val="5"/>
    <w:semiHidden/>
    <w:qFormat/>
    <w:uiPriority w:val="99"/>
    <w:rPr>
      <w:rFonts w:ascii="Calibri" w:hAnsi="Calibri" w:eastAsia="微软雅黑" w:cs="Times New Roman"/>
      <w:szCs w:val="24"/>
    </w:rPr>
  </w:style>
  <w:style w:type="character" w:customStyle="1" w:styleId="20">
    <w:name w:val="批注主题 Char"/>
    <w:basedOn w:val="19"/>
    <w:link w:val="11"/>
    <w:semiHidden/>
    <w:qFormat/>
    <w:uiPriority w:val="99"/>
    <w:rPr>
      <w:rFonts w:ascii="Calibri" w:hAnsi="Calibri" w:eastAsia="微软雅黑" w:cs="Times New Roman"/>
      <w:b/>
      <w:bCs/>
      <w:szCs w:val="24"/>
    </w:rPr>
  </w:style>
  <w:style w:type="character" w:customStyle="1" w:styleId="21">
    <w:name w:val="批注框文本 Char"/>
    <w:basedOn w:val="13"/>
    <w:link w:val="8"/>
    <w:semiHidden/>
    <w:qFormat/>
    <w:uiPriority w:val="99"/>
    <w:rPr>
      <w:rFonts w:ascii="Calibri" w:hAnsi="Calibri" w:eastAsia="微软雅黑" w:cs="Times New Roman"/>
      <w:sz w:val="18"/>
      <w:szCs w:val="18"/>
    </w:rPr>
  </w:style>
  <w:style w:type="paragraph" w:customStyle="1" w:styleId="22">
    <w:name w:val="_Style 6"/>
    <w:basedOn w:val="1"/>
    <w:qFormat/>
    <w:uiPriority w:val="34"/>
    <w:pPr>
      <w:ind w:firstLine="420" w:firstLineChars="200"/>
    </w:pPr>
    <w:rPr>
      <w:rFonts w:eastAsia="宋体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7ECB34-B67B-423A-9DD8-2218F704474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AB</Company>
  <Pages>2</Pages>
  <Words>259</Words>
  <Characters>1479</Characters>
  <Lines>12</Lines>
  <Paragraphs>3</Paragraphs>
  <TotalTime>8</TotalTime>
  <ScaleCrop>false</ScaleCrop>
  <LinksUpToDate>false</LinksUpToDate>
  <CharactersWithSpaces>1735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2026-09-03T09:53:00Z</dcterms:created>
  <dc:creator>邱素萍</dc:creator>
  <cp:lastModifiedBy> </cp:lastModifiedBy>
  <cp:lastPrinted>2026-09-03T09:58:00Z</cp:lastPrinted>
  <dcterms:modified xsi:type="dcterms:W3CDTF">2026-09-04T06:46:18Z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47D723898BA344AEB7FA019A9F3E0AC4</vt:lpwstr>
  </property>
  <property fmtid="{D5CDD505-2E9C-101B-9397-08002B2CF9AE}" pid="4" name="KSOTemplateDocerSaveRecord">
    <vt:lpwstr>eyJoZGlkIjoiNDViOGQ4MWVkMTZhZjk0MDNhZTM3YWI5ZDYwZWZmMTIifQ==</vt:lpwstr>
  </property>
</Properties>
</file>