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FAEFE2">
      <w:pPr>
        <w:pStyle w:val="2"/>
        <w:ind w:right="824"/>
        <w:jc w:val="center"/>
      </w:pPr>
      <w:r>
        <w:rPr>
          <w:rFonts w:hint="eastAsia"/>
          <w:lang w:val="en-US"/>
        </w:rPr>
        <w:t xml:space="preserve">      杭州格林达电子材料</w:t>
      </w:r>
      <w:r>
        <w:t>股份有限公司</w:t>
      </w:r>
    </w:p>
    <w:p w14:paraId="2CD1AB76">
      <w:pPr>
        <w:pStyle w:val="2"/>
        <w:ind w:right="824"/>
        <w:jc w:val="center"/>
      </w:pPr>
      <w:r>
        <w:rPr>
          <w:rFonts w:hint="eastAsia"/>
          <w:lang w:val="en-US"/>
        </w:rPr>
        <w:t xml:space="preserve">       </w:t>
      </w:r>
      <w:r>
        <w:t>投资者关系活动记录表</w:t>
      </w:r>
    </w:p>
    <w:p w14:paraId="02AB9919">
      <w:pPr>
        <w:spacing w:before="154" w:after="32"/>
        <w:ind w:right="679"/>
        <w:jc w:val="right"/>
        <w:rPr>
          <w:sz w:val="28"/>
        </w:rPr>
      </w:pPr>
      <w:r>
        <w:rPr>
          <w:sz w:val="28"/>
        </w:rPr>
        <w:t>编号：</w:t>
      </w:r>
      <w:r>
        <w:rPr>
          <w:rFonts w:hint="eastAsia"/>
          <w:sz w:val="28"/>
        </w:rPr>
        <w:t>2026-010</w:t>
      </w:r>
    </w:p>
    <w:tbl>
      <w:tblPr>
        <w:tblStyle w:val="5"/>
        <w:tblW w:w="8525" w:type="dxa"/>
        <w:tblInd w:w="79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77"/>
        <w:gridCol w:w="6148"/>
      </w:tblGrid>
      <w:tr w14:paraId="2FF66D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77" w:hRule="atLeast"/>
        </w:trPr>
        <w:tc>
          <w:tcPr>
            <w:tcW w:w="2377" w:type="dxa"/>
          </w:tcPr>
          <w:p w14:paraId="0C1D15A6">
            <w:pPr>
              <w:pStyle w:val="9"/>
              <w:ind w:left="0"/>
              <w:rPr>
                <w:sz w:val="24"/>
              </w:rPr>
            </w:pPr>
          </w:p>
          <w:p w14:paraId="52D4324F">
            <w:pPr>
              <w:pStyle w:val="9"/>
              <w:spacing w:before="12"/>
              <w:ind w:left="0"/>
              <w:rPr>
                <w:sz w:val="31"/>
              </w:rPr>
            </w:pPr>
          </w:p>
          <w:p w14:paraId="319AE997">
            <w:pPr>
              <w:pStyle w:val="9"/>
              <w:rPr>
                <w:sz w:val="24"/>
              </w:rPr>
            </w:pPr>
            <w:r>
              <w:rPr>
                <w:sz w:val="24"/>
              </w:rPr>
              <w:t>投资者关系活动类别</w:t>
            </w:r>
          </w:p>
        </w:tc>
        <w:tc>
          <w:tcPr>
            <w:tcW w:w="6148" w:type="dxa"/>
          </w:tcPr>
          <w:p w14:paraId="1F001BCD">
            <w:pPr>
              <w:pStyle w:val="9"/>
              <w:tabs>
                <w:tab w:val="left" w:pos="2747"/>
              </w:tabs>
              <w:spacing w:before="64"/>
              <w:rPr>
                <w:sz w:val="24"/>
              </w:rPr>
            </w:pPr>
            <w:r>
              <w:rPr>
                <w:rFonts w:hint="eastAsia"/>
                <w:sz w:val="24"/>
              </w:rPr>
              <w:t>□</w:t>
            </w:r>
            <w:r>
              <w:rPr>
                <w:sz w:val="24"/>
              </w:rPr>
              <w:t>特定对象调研</w:t>
            </w:r>
            <w:r>
              <w:rPr>
                <w:sz w:val="24"/>
              </w:rPr>
              <w:tab/>
            </w:r>
            <w:r>
              <w:rPr>
                <w:sz w:val="24"/>
              </w:rPr>
              <w:t>□分析师会议</w:t>
            </w:r>
          </w:p>
          <w:p w14:paraId="6237480F">
            <w:pPr>
              <w:pStyle w:val="9"/>
              <w:tabs>
                <w:tab w:val="left" w:pos="2747"/>
              </w:tabs>
              <w:spacing w:before="130"/>
              <w:rPr>
                <w:sz w:val="24"/>
              </w:rPr>
            </w:pPr>
            <w:r>
              <w:rPr>
                <w:sz w:val="24"/>
              </w:rPr>
              <w:t>□媒体采访</w:t>
            </w:r>
            <w:r>
              <w:rPr>
                <w:sz w:val="24"/>
              </w:rPr>
              <w:tab/>
            </w:r>
            <w:r>
              <w:rPr>
                <w:rFonts w:hint="eastAsia"/>
                <w:sz w:val="24"/>
              </w:rPr>
              <w:t>√</w:t>
            </w:r>
            <w:r>
              <w:rPr>
                <w:sz w:val="24"/>
              </w:rPr>
              <w:t>业绩说明会</w:t>
            </w:r>
          </w:p>
          <w:p w14:paraId="7DD45750">
            <w:pPr>
              <w:pStyle w:val="9"/>
              <w:tabs>
                <w:tab w:val="left" w:pos="2747"/>
              </w:tabs>
              <w:spacing w:before="126"/>
              <w:rPr>
                <w:sz w:val="24"/>
              </w:rPr>
            </w:pPr>
            <w:r>
              <w:rPr>
                <w:sz w:val="24"/>
              </w:rPr>
              <w:t>□新闻发布会</w:t>
            </w:r>
            <w:r>
              <w:rPr>
                <w:sz w:val="24"/>
              </w:rPr>
              <w:tab/>
            </w:r>
            <w:r>
              <w:rPr>
                <w:sz w:val="24"/>
              </w:rPr>
              <w:t>□路演活动</w:t>
            </w:r>
          </w:p>
          <w:p w14:paraId="56269F88">
            <w:pPr>
              <w:pStyle w:val="9"/>
              <w:spacing w:before="128"/>
              <w:rPr>
                <w:sz w:val="24"/>
              </w:rPr>
            </w:pPr>
            <w:r>
              <w:rPr>
                <w:sz w:val="24"/>
              </w:rPr>
              <w:t>□现场参观</w:t>
            </w:r>
          </w:p>
          <w:p w14:paraId="22C30DD5">
            <w:pPr>
              <w:pStyle w:val="9"/>
              <w:spacing w:before="127"/>
              <w:rPr>
                <w:sz w:val="24"/>
              </w:rPr>
            </w:pPr>
            <w:r>
              <w:rPr>
                <w:sz w:val="24"/>
              </w:rPr>
              <w:t>□其他（请文字说明其他活动内容）</w:t>
            </w:r>
          </w:p>
        </w:tc>
      </w:tr>
      <w:tr w14:paraId="27E035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7" w:hRule="atLeast"/>
        </w:trPr>
        <w:tc>
          <w:tcPr>
            <w:tcW w:w="2377" w:type="dxa"/>
          </w:tcPr>
          <w:p w14:paraId="1BD9B899">
            <w:pPr>
              <w:pStyle w:val="9"/>
              <w:spacing w:before="64"/>
              <w:rPr>
                <w:sz w:val="24"/>
              </w:rPr>
            </w:pPr>
            <w:r>
              <w:rPr>
                <w:sz w:val="24"/>
              </w:rPr>
              <w:t>活动参与人员</w:t>
            </w:r>
          </w:p>
        </w:tc>
        <w:tc>
          <w:tcPr>
            <w:tcW w:w="6148" w:type="dxa"/>
          </w:tcPr>
          <w:p w14:paraId="1B0BB473">
            <w:pPr>
              <w:pStyle w:val="9"/>
            </w:pPr>
            <w:r>
              <w:rPr>
                <w:rFonts w:hint="eastAsia"/>
              </w:rPr>
              <w:t>董事长：蒋慧儿</w:t>
            </w:r>
          </w:p>
          <w:p w14:paraId="1A513A84">
            <w:pPr>
              <w:pStyle w:val="9"/>
            </w:pPr>
            <w:r>
              <w:rPr>
                <w:rFonts w:hint="eastAsia"/>
              </w:rPr>
              <w:t>总经理：方伟华</w:t>
            </w:r>
          </w:p>
          <w:p w14:paraId="393E9419">
            <w:pPr>
              <w:pStyle w:val="9"/>
            </w:pPr>
            <w:r>
              <w:rPr>
                <w:rFonts w:hint="eastAsia"/>
              </w:rPr>
              <w:t>财务总监：何婷茹</w:t>
            </w:r>
          </w:p>
          <w:p w14:paraId="30C45B20">
            <w:pPr>
              <w:pStyle w:val="9"/>
            </w:pPr>
            <w:r>
              <w:rPr>
                <w:rFonts w:hint="eastAsia"/>
              </w:rPr>
              <w:t>董事会秘书：章琪</w:t>
            </w:r>
          </w:p>
          <w:p w14:paraId="0A8B9502">
            <w:pPr>
              <w:pStyle w:val="9"/>
            </w:pPr>
            <w:r>
              <w:rPr>
                <w:rFonts w:hint="eastAsia"/>
              </w:rPr>
              <w:t>独立董事：</w:t>
            </w:r>
            <w:r>
              <w:t xml:space="preserve"> 吴晖</w:t>
            </w:r>
          </w:p>
        </w:tc>
      </w:tr>
      <w:tr w14:paraId="13A0F9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2377" w:type="dxa"/>
          </w:tcPr>
          <w:p w14:paraId="5F7FF5DE">
            <w:pPr>
              <w:pStyle w:val="9"/>
              <w:spacing w:before="64"/>
              <w:rPr>
                <w:sz w:val="24"/>
              </w:rPr>
            </w:pPr>
            <w:r>
              <w:rPr>
                <w:sz w:val="24"/>
              </w:rPr>
              <w:t>时间</w:t>
            </w:r>
          </w:p>
        </w:tc>
        <w:tc>
          <w:tcPr>
            <w:tcW w:w="6148" w:type="dxa"/>
          </w:tcPr>
          <w:p w14:paraId="4B082C86">
            <w:pPr>
              <w:pStyle w:val="9"/>
              <w:ind w:left="0"/>
              <w:rPr>
                <w:rFonts w:ascii="Times New Roman"/>
                <w:sz w:val="26"/>
              </w:rPr>
            </w:pPr>
            <w:r>
              <w:rPr>
                <w:rFonts w:hint="eastAsia" w:ascii="Times New Roman"/>
                <w:sz w:val="26"/>
              </w:rPr>
              <w:t>2026</w:t>
            </w:r>
            <w:r>
              <w:rPr>
                <w:rFonts w:ascii="Times New Roman"/>
                <w:sz w:val="26"/>
              </w:rPr>
              <w:t>.</w:t>
            </w:r>
            <w:r>
              <w:rPr>
                <w:rFonts w:hint="eastAsia" w:ascii="Times New Roman"/>
                <w:sz w:val="26"/>
              </w:rPr>
              <w:t>9</w:t>
            </w:r>
            <w:r>
              <w:rPr>
                <w:rFonts w:ascii="Times New Roman"/>
                <w:sz w:val="26"/>
              </w:rPr>
              <w:t>.</w:t>
            </w:r>
            <w:r>
              <w:rPr>
                <w:rFonts w:hint="eastAsia" w:ascii="Times New Roman"/>
                <w:sz w:val="26"/>
              </w:rPr>
              <w:t>11上午</w:t>
            </w:r>
            <w:r>
              <w:rPr>
                <w:rFonts w:ascii="Times New Roman"/>
                <w:sz w:val="26"/>
              </w:rPr>
              <w:t xml:space="preserve"> </w:t>
            </w:r>
            <w:r>
              <w:rPr>
                <w:rFonts w:hint="eastAsia" w:ascii="Times New Roman"/>
                <w:sz w:val="26"/>
              </w:rPr>
              <w:t>9</w:t>
            </w:r>
            <w:r>
              <w:rPr>
                <w:rFonts w:ascii="Times New Roman"/>
                <w:sz w:val="26"/>
              </w:rPr>
              <w:t>:00-1</w:t>
            </w:r>
            <w:r>
              <w:rPr>
                <w:rFonts w:hint="eastAsia" w:ascii="Times New Roman"/>
                <w:sz w:val="26"/>
              </w:rPr>
              <w:t>0</w:t>
            </w:r>
            <w:r>
              <w:rPr>
                <w:rFonts w:ascii="Times New Roman"/>
                <w:sz w:val="26"/>
              </w:rPr>
              <w:t>:00</w:t>
            </w:r>
          </w:p>
        </w:tc>
      </w:tr>
      <w:tr w14:paraId="0E13B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trPr>
        <w:tc>
          <w:tcPr>
            <w:tcW w:w="2377" w:type="dxa"/>
          </w:tcPr>
          <w:p w14:paraId="219387FF">
            <w:pPr>
              <w:pStyle w:val="9"/>
              <w:spacing w:before="64"/>
              <w:rPr>
                <w:sz w:val="24"/>
              </w:rPr>
            </w:pPr>
            <w:r>
              <w:rPr>
                <w:sz w:val="24"/>
              </w:rPr>
              <w:t>地点</w:t>
            </w:r>
          </w:p>
        </w:tc>
        <w:tc>
          <w:tcPr>
            <w:tcW w:w="6148" w:type="dxa"/>
          </w:tcPr>
          <w:p w14:paraId="33D50453">
            <w:pPr>
              <w:pStyle w:val="9"/>
              <w:ind w:left="0"/>
              <w:rPr>
                <w:rFonts w:ascii="Times New Roman"/>
                <w:sz w:val="26"/>
              </w:rPr>
            </w:pPr>
            <w:r>
              <w:rPr>
                <w:rFonts w:hint="eastAsia" w:ascii="Times New Roman"/>
                <w:sz w:val="26"/>
              </w:rPr>
              <w:t>上证路演中心</w:t>
            </w:r>
          </w:p>
        </w:tc>
      </w:tr>
      <w:tr w14:paraId="41889C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37" w:hRule="atLeast"/>
        </w:trPr>
        <w:tc>
          <w:tcPr>
            <w:tcW w:w="2377" w:type="dxa"/>
          </w:tcPr>
          <w:p w14:paraId="1D513ADD">
            <w:pPr>
              <w:pStyle w:val="9"/>
              <w:spacing w:before="67"/>
              <w:rPr>
                <w:sz w:val="24"/>
              </w:rPr>
            </w:pPr>
            <w:r>
              <w:rPr>
                <w:sz w:val="24"/>
              </w:rPr>
              <w:t>交流内容及具体问答</w:t>
            </w:r>
          </w:p>
          <w:p w14:paraId="504BE76F">
            <w:pPr>
              <w:pStyle w:val="9"/>
              <w:spacing w:before="127"/>
              <w:rPr>
                <w:sz w:val="24"/>
              </w:rPr>
            </w:pPr>
            <w:r>
              <w:rPr>
                <w:sz w:val="24"/>
              </w:rPr>
              <w:t>记录</w:t>
            </w:r>
          </w:p>
        </w:tc>
        <w:tc>
          <w:tcPr>
            <w:tcW w:w="6148" w:type="dxa"/>
          </w:tcPr>
          <w:p w14:paraId="7041CAAE">
            <w:pPr>
              <w:spacing w:line="360" w:lineRule="auto"/>
            </w:pPr>
            <w:r>
              <w:rPr>
                <w:rFonts w:hint="eastAsia"/>
              </w:rPr>
              <w:t>1、</w:t>
            </w:r>
            <w:r>
              <w:t>公司8月25日公告回购方案，上限56.10元/股，但截至8月31日‘暂未实施股份回购’。请问公司是在等待更低的股价，还是有其他考量？回购的具体启动条件是什么？</w:t>
            </w:r>
          </w:p>
          <w:p w14:paraId="7F385DE8">
            <w:pPr>
              <w:spacing w:line="360" w:lineRule="auto"/>
            </w:pPr>
            <w:r>
              <w:rPr>
                <w:rFonts w:hint="eastAsia"/>
              </w:rPr>
              <w:t>A：</w:t>
            </w:r>
            <w:r>
              <w:t>尊敬的投资者你好，公司将严格按照《上市公司股份回购规则》《上海证券交易所上市公司自律监管指引第7号——回购股份》等相关规定，在回购期限内根据市场情况择机做出回购决策并予以实施，同时根据回购股份事项进展情况及时履行信息披露义务，谢谢。</w:t>
            </w:r>
          </w:p>
          <w:p w14:paraId="2C99D3D4">
            <w:pPr>
              <w:spacing w:line="360" w:lineRule="auto"/>
            </w:pPr>
          </w:p>
          <w:p w14:paraId="7E06DEFC">
            <w:pPr>
              <w:spacing w:line="360" w:lineRule="auto"/>
            </w:pPr>
            <w:r>
              <w:rPr>
                <w:rFonts w:hint="eastAsia"/>
              </w:rPr>
              <w:t>2、</w:t>
            </w:r>
            <w:r>
              <w:t>公司半导体业务收入占比约9.33%，目前基数还比较小，请问下半年半导体业务的收入环比增速，是否会显著高于上半年？公司内部有没有一个‘半导体收入超过面板收入’的长期目标或时间预期？</w:t>
            </w:r>
          </w:p>
          <w:p w14:paraId="2431023D">
            <w:pPr>
              <w:spacing w:line="360" w:lineRule="auto"/>
            </w:pPr>
            <w:r>
              <w:rPr>
                <w:rFonts w:hint="eastAsia"/>
              </w:rPr>
              <w:t>A：</w:t>
            </w:r>
            <w:r>
              <w:t>尊敬的投资者你好，公司半导体及其他业务收入占比根据格式要求在年度报告中披露。在数字经济持续深化、产业升级不断推进的背景下，我国新型显示和集成电路产业仍处于快速发展阶段，整体呈现向高端化、规模化发展的趋势。作为产业链上游关键材料之一，湿电子化学品的需求与下游晶圆制造、封装测试及显示面板发展密切相关，具备较强的成长性与确定性。公司将紧抓半导体产业发展及材料国产替代机遇，持续加大研发投入，不断提升产品纯度控制、功能性配方开发、质量稳定性管理及本地化服务能力，积极推进高端产品验证与导入，通过强化核心技术与客户协同，增强市场竞争力和可持续发展能力。谢谢。</w:t>
            </w:r>
          </w:p>
          <w:p w14:paraId="67EC1F2C">
            <w:pPr>
              <w:spacing w:line="360" w:lineRule="auto"/>
            </w:pPr>
          </w:p>
          <w:p w14:paraId="7F6B5953">
            <w:pPr>
              <w:spacing w:line="360" w:lineRule="auto"/>
            </w:pPr>
            <w:r>
              <w:rPr>
                <w:rFonts w:hint="eastAsia"/>
              </w:rPr>
              <w:t>3、</w:t>
            </w:r>
            <w:r>
              <w:t>京东方玻璃基板试验线已通线，公司此前表示‘期待与国内龙头展开合作’。请问公司是否已进入京东方玻璃基板的材料供应商体系？ 另外，韩国先进封装客户端‘体系认证’目前进展到哪一步了？预计何时完成？</w:t>
            </w:r>
          </w:p>
          <w:p w14:paraId="1C431ED8">
            <w:pPr>
              <w:spacing w:line="360" w:lineRule="auto"/>
            </w:pPr>
            <w:r>
              <w:rPr>
                <w:rFonts w:hint="eastAsia"/>
              </w:rPr>
              <w:t>A：</w:t>
            </w:r>
            <w:r>
              <w:t>尊敬的投资者你好，公司加速推进先进封装产业链产品的布局，目前TMAH系列产品在韩国先进封装产业链客户端完成产线测试验证，进入供应商体系，进行体系认证，其他海外客户端已开始启动批量供货。谢谢。</w:t>
            </w:r>
          </w:p>
          <w:p w14:paraId="0AFA5B2E">
            <w:pPr>
              <w:spacing w:line="360" w:lineRule="auto"/>
            </w:pPr>
          </w:p>
        </w:tc>
      </w:tr>
      <w:tr w14:paraId="64D842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39" w:hRule="atLeast"/>
        </w:trPr>
        <w:tc>
          <w:tcPr>
            <w:tcW w:w="2377" w:type="dxa"/>
          </w:tcPr>
          <w:p w14:paraId="6B84863A">
            <w:pPr>
              <w:pStyle w:val="9"/>
              <w:spacing w:before="64" w:line="340" w:lineRule="auto"/>
              <w:ind w:right="97"/>
              <w:jc w:val="both"/>
              <w:rPr>
                <w:sz w:val="24"/>
              </w:rPr>
            </w:pPr>
            <w:r>
              <w:rPr>
                <w:szCs w:val="21"/>
              </w:rPr>
              <w:t>活动过程中所使用的演示文稿、提供的文档等附件（如有，可作为附件）</w:t>
            </w:r>
          </w:p>
        </w:tc>
        <w:tc>
          <w:tcPr>
            <w:tcW w:w="6148" w:type="dxa"/>
          </w:tcPr>
          <w:p w14:paraId="561E560E">
            <w:pPr>
              <w:pStyle w:val="9"/>
              <w:ind w:left="0"/>
              <w:rPr>
                <w:rFonts w:ascii="Times New Roman"/>
                <w:sz w:val="26"/>
              </w:rPr>
            </w:pPr>
            <w:r>
              <w:rPr>
                <w:rFonts w:hint="eastAsia" w:ascii="Times New Roman"/>
                <w:sz w:val="26"/>
              </w:rPr>
              <w:t>无</w:t>
            </w:r>
          </w:p>
        </w:tc>
      </w:tr>
      <w:tr w14:paraId="7C790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19" w:hRule="atLeast"/>
        </w:trPr>
        <w:tc>
          <w:tcPr>
            <w:tcW w:w="8525" w:type="dxa"/>
            <w:gridSpan w:val="2"/>
          </w:tcPr>
          <w:p w14:paraId="39152D56">
            <w:pPr>
              <w:pStyle w:val="9"/>
              <w:ind w:left="0"/>
              <w:rPr>
                <w:rFonts w:ascii="Times New Roman"/>
                <w:sz w:val="26"/>
              </w:rPr>
            </w:pPr>
            <w:r>
              <w:rPr>
                <w:rFonts w:hint="eastAsia" w:ascii="Times New Roman"/>
                <w:szCs w:val="20"/>
              </w:rPr>
              <w:t>风险提示：公司郑重提醒广大投资者，有关公司信息请以公司在上海证券交易所网站和法定信息披露媒体刊登的相关公告为准。本记录表中如涉及公司发展战略、研发预计、未来经营计划等描述，不构成公司对投资者的实质承诺，敬请广大投资者理性投资，注意投资风险。</w:t>
            </w:r>
            <w:bookmarkStart w:id="0" w:name="_GoBack"/>
            <w:bookmarkEnd w:id="0"/>
          </w:p>
        </w:tc>
      </w:tr>
    </w:tbl>
    <w:p w14:paraId="436C18F1">
      <w:pPr>
        <w:rPr>
          <w:rFonts w:ascii="宋体" w:hAnsi="宋体"/>
          <w:sz w:val="28"/>
        </w:rPr>
      </w:pPr>
    </w:p>
    <w:sectPr>
      <w:type w:val="continuous"/>
      <w:pgSz w:w="11910" w:h="16840"/>
      <w:pgMar w:top="1520" w:right="1580" w:bottom="280" w:left="9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E0B"/>
    <w:rsid w:val="000032E7"/>
    <w:rsid w:val="00016E03"/>
    <w:rsid w:val="00067221"/>
    <w:rsid w:val="000D24F6"/>
    <w:rsid w:val="00103076"/>
    <w:rsid w:val="001305E4"/>
    <w:rsid w:val="001D16A1"/>
    <w:rsid w:val="00232B20"/>
    <w:rsid w:val="002529FD"/>
    <w:rsid w:val="002F58B8"/>
    <w:rsid w:val="003F556E"/>
    <w:rsid w:val="00462D43"/>
    <w:rsid w:val="005156BA"/>
    <w:rsid w:val="00526CD4"/>
    <w:rsid w:val="00552E3E"/>
    <w:rsid w:val="005A2059"/>
    <w:rsid w:val="005C2C6D"/>
    <w:rsid w:val="00622D7E"/>
    <w:rsid w:val="00623297"/>
    <w:rsid w:val="006522D3"/>
    <w:rsid w:val="00686109"/>
    <w:rsid w:val="00772877"/>
    <w:rsid w:val="007E3B0D"/>
    <w:rsid w:val="00916165"/>
    <w:rsid w:val="00946532"/>
    <w:rsid w:val="009A5806"/>
    <w:rsid w:val="009F75B4"/>
    <w:rsid w:val="00A67D17"/>
    <w:rsid w:val="00A828CE"/>
    <w:rsid w:val="00A83E0B"/>
    <w:rsid w:val="00A8456E"/>
    <w:rsid w:val="00B803AF"/>
    <w:rsid w:val="00BA688B"/>
    <w:rsid w:val="00C5219B"/>
    <w:rsid w:val="00C826FC"/>
    <w:rsid w:val="00D42126"/>
    <w:rsid w:val="00D91025"/>
    <w:rsid w:val="00E46F19"/>
    <w:rsid w:val="00E9267C"/>
    <w:rsid w:val="00F436B8"/>
    <w:rsid w:val="00F56B76"/>
    <w:rsid w:val="00F943F4"/>
    <w:rsid w:val="00FC609D"/>
    <w:rsid w:val="1ED23A13"/>
    <w:rsid w:val="78267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zh-CN" w:eastAsia="zh-CN" w:bidi="zh-CN"/>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rPr>
      <w:rFonts w:ascii="宋体" w:hAnsi="宋体" w:eastAsia="宋体" w:cs="宋体"/>
      <w:sz w:val="44"/>
      <w:szCs w:val="44"/>
    </w:rPr>
  </w:style>
  <w:style w:type="paragraph" w:styleId="3">
    <w:name w:val="footer"/>
    <w:basedOn w:val="1"/>
    <w:link w:val="11"/>
    <w:qFormat/>
    <w:uiPriority w:val="0"/>
    <w:pPr>
      <w:tabs>
        <w:tab w:val="center" w:pos="4153"/>
        <w:tab w:val="right" w:pos="8306"/>
      </w:tabs>
      <w:snapToGrid w:val="0"/>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style>
  <w:style w:type="paragraph" w:customStyle="1" w:styleId="9">
    <w:name w:val="Table Paragraph"/>
    <w:basedOn w:val="1"/>
    <w:qFormat/>
    <w:uiPriority w:val="1"/>
    <w:pPr>
      <w:ind w:left="107"/>
    </w:pPr>
  </w:style>
  <w:style w:type="character" w:customStyle="1" w:styleId="10">
    <w:name w:val="页眉 字符"/>
    <w:basedOn w:val="6"/>
    <w:link w:val="4"/>
    <w:uiPriority w:val="0"/>
    <w:rPr>
      <w:rFonts w:ascii="仿宋" w:hAnsi="仿宋" w:eastAsia="仿宋" w:cs="仿宋"/>
      <w:sz w:val="18"/>
      <w:szCs w:val="18"/>
      <w:lang w:val="zh-CN" w:bidi="zh-CN"/>
    </w:rPr>
  </w:style>
  <w:style w:type="character" w:customStyle="1" w:styleId="11">
    <w:name w:val="页脚 字符"/>
    <w:basedOn w:val="6"/>
    <w:link w:val="3"/>
    <w:qFormat/>
    <w:uiPriority w:val="0"/>
    <w:rPr>
      <w:rFonts w:ascii="仿宋" w:hAnsi="仿宋" w:eastAsia="仿宋" w:cs="仿宋"/>
      <w:sz w:val="18"/>
      <w:szCs w:val="18"/>
      <w:lang w:val="zh-CN" w:bidi="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1137</Words>
  <Characters>1174</Characters>
  <Lines>8</Lines>
  <Paragraphs>2</Paragraphs>
  <TotalTime>69</TotalTime>
  <ScaleCrop>false</ScaleCrop>
  <LinksUpToDate>false</LinksUpToDate>
  <CharactersWithSpaces>1193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2024-05-16T06:10:00Z</dcterms:created>
  <dc:creator>杨展</dc:creator>
  <cp:lastModifiedBy>杭州格林达</cp:lastModifiedBy>
  <dcterms:modified xsi:type="dcterms:W3CDTF">2026-09-11T03:26:43Z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2022-07-29T00:00:00Z</vt:filetime>
  </property>
  <property fmtid="{D5CDD505-2E9C-101B-9397-08002B2CF9AE}" pid="3" name="Creator">
    <vt:lpwstr>Microsoft® Word 2010</vt:lpwstr>
  </property>
  <property fmtid="{D5CDD505-2E9C-101B-9397-08002B2CF9AE}" pid="4" name="LastSaved">
    <vt:filetime>2022-11-24T00:00:00Z</vt:filetime>
  </property>
  <property fmtid="{D5CDD505-2E9C-101B-9397-08002B2CF9AE}" pid="5" name="KSOProductBuildVer">
    <vt:lpwstr>2052-12.1.0.28043</vt:lpwstr>
  </property>
  <property fmtid="{D5CDD505-2E9C-101B-9397-08002B2CF9AE}" pid="6" name="KSOTemplateDocerSaveRecord">
    <vt:lpwstr>eyJoZGlkIjoiYjM1MzI5ZjdhYjMwMjg0OGUxNWUzZTQ2ZjVlODNmMGMiLCJ1c2VySWQiOiI1MjM0NDMzMTIifQ==</vt:lpwstr>
  </property>
  <property fmtid="{D5CDD505-2E9C-101B-9397-08002B2CF9AE}" pid="7" name="ICV">
    <vt:lpwstr>671617F3F39A4AA385D78B17F1F6E666_12</vt:lpwstr>
  </property>
</Properties>
</file>