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77E02">
      <w:pPr>
        <w:spacing w:before="156" w:beforeLines="50" w:after="156" w:afterLines="50" w:line="400" w:lineRule="exact"/>
        <w:rPr>
          <w:rFonts w:ascii="宋体" w:hAnsi="宋体"/>
          <w:b/>
          <w:bCs/>
          <w:iCs/>
          <w:color w:val="000000" w:themeColor="text1"/>
          <w:sz w:val="24"/>
          <w14:textFill>
            <w14:solidFill>
              <w14:schemeClr w14:val="tx1"/>
            </w14:solidFill>
          </w14:textFill>
        </w:rPr>
      </w:pPr>
      <w:r>
        <w:rPr>
          <w:rFonts w:hint="eastAsia" w:ascii="宋体" w:hAnsi="宋体"/>
          <w:b/>
          <w:bCs/>
          <w:iCs/>
          <w:color w:val="000000" w:themeColor="text1"/>
          <w:sz w:val="24"/>
          <w14:textFill>
            <w14:solidFill>
              <w14:schemeClr w14:val="tx1"/>
            </w14:solidFill>
          </w14:textFill>
        </w:rPr>
        <w:t>证券代码：603062</w:t>
      </w:r>
      <w:r>
        <w:rPr>
          <w:rFonts w:ascii="宋体" w:hAnsi="宋体"/>
          <w:b/>
          <w:bCs/>
          <w:iCs/>
          <w:color w:val="000000" w:themeColor="text1"/>
          <w:sz w:val="24"/>
          <w14:textFill>
            <w14:solidFill>
              <w14:schemeClr w14:val="tx1"/>
            </w14:solidFill>
          </w14:textFill>
        </w:rPr>
        <w:t xml:space="preserve">                              </w:t>
      </w:r>
      <w:r>
        <w:rPr>
          <w:rFonts w:hint="eastAsia" w:ascii="宋体" w:hAnsi="宋体"/>
          <w:b/>
          <w:bCs/>
          <w:iCs/>
          <w:color w:val="000000" w:themeColor="text1"/>
          <w:sz w:val="24"/>
          <w:lang w:val="en-US" w:eastAsia="zh-CN"/>
          <w14:textFill>
            <w14:solidFill>
              <w14:schemeClr w14:val="tx1"/>
            </w14:solidFill>
          </w14:textFill>
        </w:rPr>
        <w:t xml:space="preserve"> </w:t>
      </w:r>
      <w:r>
        <w:rPr>
          <w:rFonts w:ascii="宋体" w:hAnsi="宋体"/>
          <w:b/>
          <w:bCs/>
          <w:iCs/>
          <w:color w:val="000000" w:themeColor="text1"/>
          <w:sz w:val="24"/>
          <w14:textFill>
            <w14:solidFill>
              <w14:schemeClr w14:val="tx1"/>
            </w14:solidFill>
          </w14:textFill>
        </w:rPr>
        <w:t xml:space="preserve">   </w:t>
      </w:r>
      <w:r>
        <w:rPr>
          <w:rFonts w:hint="eastAsia" w:ascii="宋体" w:hAnsi="宋体"/>
          <w:b/>
          <w:bCs/>
          <w:iCs/>
          <w:color w:val="000000" w:themeColor="text1"/>
          <w:sz w:val="24"/>
          <w14:textFill>
            <w14:solidFill>
              <w14:schemeClr w14:val="tx1"/>
            </w14:solidFill>
          </w14:textFill>
        </w:rPr>
        <w:t>证券简称：麦加芯彩</w:t>
      </w:r>
    </w:p>
    <w:p w14:paraId="2DBD4433">
      <w:pPr>
        <w:autoSpaceDE w:val="0"/>
        <w:autoSpaceDN w:val="0"/>
        <w:adjustRightInd w:val="0"/>
        <w:snapToGrid w:val="0"/>
        <w:ind w:left="141" w:hanging="141" w:hangingChars="50"/>
        <w:jc w:val="center"/>
        <w:rPr>
          <w:rFonts w:asciiTheme="minorEastAsia" w:hAnsiTheme="minorEastAsia" w:eastAsiaTheme="minorEastAsia"/>
          <w:b/>
          <w:color w:val="000000" w:themeColor="text1"/>
          <w:sz w:val="28"/>
          <w:szCs w:val="24"/>
          <w14:textFill>
            <w14:solidFill>
              <w14:schemeClr w14:val="tx1"/>
            </w14:solidFill>
          </w14:textFill>
        </w:rPr>
      </w:pPr>
      <w:r>
        <w:rPr>
          <w:rFonts w:hint="eastAsia" w:asciiTheme="minorEastAsia" w:hAnsiTheme="minorEastAsia" w:eastAsiaTheme="minorEastAsia"/>
          <w:b/>
          <w:color w:val="000000" w:themeColor="text1"/>
          <w:sz w:val="28"/>
          <w:szCs w:val="24"/>
          <w14:textFill>
            <w14:solidFill>
              <w14:schemeClr w14:val="tx1"/>
            </w14:solidFill>
          </w14:textFill>
        </w:rPr>
        <w:t>麦加芯彩新材料科技（上海）股份有限公司投资者关系活动记录表</w:t>
      </w:r>
    </w:p>
    <w:p w14:paraId="5C3DB02B">
      <w:pPr>
        <w:spacing w:line="400" w:lineRule="exact"/>
        <w:ind w:right="-313" w:rightChars="-149"/>
        <w:rPr>
          <w:rFonts w:hint="eastAsia" w:ascii="宋体" w:hAnsi="宋体" w:eastAsia="宋体"/>
          <w:bCs/>
          <w:iCs/>
          <w:color w:val="000000" w:themeColor="text1"/>
          <w:sz w:val="24"/>
          <w:szCs w:val="24"/>
          <w:lang w:val="en-US" w:eastAsia="zh-CN"/>
          <w14:textFill>
            <w14:solidFill>
              <w14:schemeClr w14:val="tx1"/>
            </w14:solidFill>
          </w14:textFill>
        </w:rPr>
      </w:pPr>
      <w:r>
        <w:rPr>
          <w:rFonts w:hint="eastAsia" w:ascii="宋体" w:hAnsi="宋体"/>
          <w:bCs/>
          <w:iCs/>
          <w:color w:val="000000" w:themeColor="text1"/>
          <w:sz w:val="24"/>
          <w:szCs w:val="24"/>
          <w14:textFill>
            <w14:solidFill>
              <w14:schemeClr w14:val="tx1"/>
            </w14:solidFill>
          </w14:textFill>
        </w:rPr>
        <w:t xml:space="preserve">                                                      </w:t>
      </w:r>
      <w:r>
        <w:rPr>
          <w:rFonts w:hint="eastAsia" w:ascii="宋体" w:hAnsi="宋体"/>
          <w:bCs/>
          <w:iCs/>
          <w:color w:val="000000" w:themeColor="text1"/>
          <w:sz w:val="24"/>
          <w:szCs w:val="24"/>
          <w:lang w:val="en-US" w:eastAsia="zh-CN"/>
          <w14:textFill>
            <w14:solidFill>
              <w14:schemeClr w14:val="tx1"/>
            </w14:solidFill>
          </w14:textFill>
        </w:rPr>
        <w:t xml:space="preserve">   </w:t>
      </w:r>
      <w:r>
        <w:rPr>
          <w:rFonts w:hint="eastAsia" w:ascii="宋体" w:hAnsi="宋体"/>
          <w:bCs/>
          <w:iCs/>
          <w:color w:val="000000" w:themeColor="text1"/>
          <w:sz w:val="24"/>
          <w:szCs w:val="24"/>
          <w14:textFill>
            <w14:solidFill>
              <w14:schemeClr w14:val="tx1"/>
            </w14:solidFill>
          </w14:textFill>
        </w:rPr>
        <w:t>编号：202</w:t>
      </w:r>
      <w:r>
        <w:rPr>
          <w:rFonts w:hint="default" w:ascii="宋体" w:hAnsi="宋体"/>
          <w:bCs/>
          <w:iCs/>
          <w:color w:val="000000" w:themeColor="text1"/>
          <w:sz w:val="24"/>
          <w:szCs w:val="24"/>
          <w:lang w:val="en-US"/>
          <w14:textFill>
            <w14:solidFill>
              <w14:schemeClr w14:val="tx1"/>
            </w14:solidFill>
          </w14:textFill>
        </w:rPr>
        <w:t>6</w:t>
      </w:r>
      <w:r>
        <w:rPr>
          <w:rFonts w:hint="eastAsia" w:ascii="宋体" w:hAnsi="宋体"/>
          <w:bCs/>
          <w:iCs/>
          <w:color w:val="000000" w:themeColor="text1"/>
          <w:sz w:val="24"/>
          <w:szCs w:val="24"/>
          <w14:textFill>
            <w14:solidFill>
              <w14:schemeClr w14:val="tx1"/>
            </w14:solidFill>
          </w14:textFill>
        </w:rPr>
        <w:t>-0</w:t>
      </w:r>
      <w:r>
        <w:rPr>
          <w:rFonts w:hint="default" w:ascii="宋体" w:hAnsi="宋体"/>
          <w:bCs/>
          <w:iCs/>
          <w:color w:val="000000" w:themeColor="text1"/>
          <w:sz w:val="24"/>
          <w:szCs w:val="24"/>
          <w:lang w:val="en-US" w:eastAsia="zh-CN"/>
          <w14:textFill>
            <w14:solidFill>
              <w14:schemeClr w14:val="tx1"/>
            </w14:solidFill>
          </w14:textFill>
        </w:rPr>
        <w:t>0</w:t>
      </w:r>
      <w:r>
        <w:rPr>
          <w:rFonts w:hint="default" w:ascii="宋体" w:hAnsi="宋体"/>
          <w:bCs/>
          <w:iCs/>
          <w:color w:val="000000" w:themeColor="text1"/>
          <w:sz w:val="24"/>
          <w:szCs w:val="24"/>
          <w:highlight w:val="none"/>
          <w:lang w:val="en-US" w:eastAsia="zh-CN"/>
          <w14:textFill>
            <w14:solidFill>
              <w14:schemeClr w14:val="tx1"/>
            </w14:solidFill>
          </w14:textFill>
        </w:rPr>
        <w:t>4</w:t>
      </w:r>
    </w:p>
    <w:tbl>
      <w:tblPr>
        <w:tblStyle w:val="8"/>
        <w:tblW w:w="8727"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1"/>
        <w:gridCol w:w="7146"/>
      </w:tblGrid>
      <w:tr w14:paraId="3C3F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trPr>
        <w:tc>
          <w:tcPr>
            <w:tcW w:w="1581" w:type="dxa"/>
            <w:shd w:val="clear" w:color="auto" w:fill="auto"/>
            <w:vAlign w:val="center"/>
          </w:tcPr>
          <w:p w14:paraId="7389850F">
            <w:pPr>
              <w:rPr>
                <w:rFonts w:ascii="宋体" w:hAnsi="宋体"/>
                <w:b/>
                <w:bCs/>
                <w:iCs/>
                <w:color w:val="000000" w:themeColor="text1"/>
                <w:szCs w:val="21"/>
                <w14:textFill>
                  <w14:solidFill>
                    <w14:schemeClr w14:val="tx1"/>
                  </w14:solidFill>
                </w14:textFill>
              </w:rPr>
            </w:pPr>
            <w:r>
              <w:rPr>
                <w:rFonts w:hint="eastAsia" w:ascii="宋体" w:hAnsi="宋体"/>
                <w:b/>
                <w:bCs/>
                <w:iCs/>
                <w:color w:val="000000" w:themeColor="text1"/>
                <w:szCs w:val="21"/>
                <w14:textFill>
                  <w14:solidFill>
                    <w14:schemeClr w14:val="tx1"/>
                  </w14:solidFill>
                </w14:textFill>
              </w:rPr>
              <w:t>投资者关系</w:t>
            </w:r>
          </w:p>
          <w:p w14:paraId="04F5B209">
            <w:pPr>
              <w:rPr>
                <w:rFonts w:ascii="宋体" w:hAnsi="宋体"/>
                <w:b/>
                <w:bCs/>
                <w:iCs/>
                <w:color w:val="000000" w:themeColor="text1"/>
                <w:szCs w:val="21"/>
                <w14:textFill>
                  <w14:solidFill>
                    <w14:schemeClr w14:val="tx1"/>
                  </w14:solidFill>
                </w14:textFill>
              </w:rPr>
            </w:pPr>
            <w:r>
              <w:rPr>
                <w:rFonts w:hint="eastAsia" w:ascii="宋体" w:hAnsi="宋体"/>
                <w:b/>
                <w:bCs/>
                <w:iCs/>
                <w:color w:val="000000" w:themeColor="text1"/>
                <w:szCs w:val="21"/>
                <w14:textFill>
                  <w14:solidFill>
                    <w14:schemeClr w14:val="tx1"/>
                  </w14:solidFill>
                </w14:textFill>
              </w:rPr>
              <w:t>活动类别</w:t>
            </w:r>
          </w:p>
          <w:p w14:paraId="7BD3BE3C">
            <w:pPr>
              <w:rPr>
                <w:rFonts w:ascii="宋体" w:hAnsi="宋体"/>
                <w:b/>
                <w:bCs/>
                <w:iCs/>
                <w:color w:val="000000" w:themeColor="text1"/>
                <w:szCs w:val="21"/>
                <w14:textFill>
                  <w14:solidFill>
                    <w14:schemeClr w14:val="tx1"/>
                  </w14:solidFill>
                </w14:textFill>
              </w:rPr>
            </w:pPr>
          </w:p>
        </w:tc>
        <w:tc>
          <w:tcPr>
            <w:tcW w:w="7146" w:type="dxa"/>
            <w:shd w:val="clear" w:color="auto" w:fill="auto"/>
          </w:tcPr>
          <w:p w14:paraId="43DE05C5">
            <w:pPr>
              <w:spacing w:line="480" w:lineRule="atLeast"/>
              <w:rPr>
                <w:rFonts w:ascii="宋体" w:hAnsi="宋体"/>
                <w:bCs/>
                <w:iCs/>
                <w:color w:val="000000" w:themeColor="text1"/>
                <w:szCs w:val="21"/>
                <w14:textFill>
                  <w14:solidFill>
                    <w14:schemeClr w14:val="tx1"/>
                  </w14:solidFill>
                </w14:textFill>
              </w:rPr>
            </w:pPr>
            <w:r>
              <w:rPr>
                <w:rFonts w:hint="eastAsia" w:ascii="宋体" w:hAnsi="宋体"/>
                <w:bCs/>
                <w:iCs/>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 xml:space="preserve">特定对象调研        </w:t>
            </w:r>
            <w:r>
              <w:rPr>
                <w:rFonts w:hint="eastAsia" w:ascii="宋体" w:hAnsi="宋体"/>
                <w:bCs/>
                <w:iC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分析师会议</w:t>
            </w:r>
          </w:p>
          <w:p w14:paraId="272E8BCE">
            <w:pPr>
              <w:spacing w:line="480" w:lineRule="atLeast"/>
              <w:rPr>
                <w:rFonts w:ascii="宋体" w:hAnsi="宋体"/>
                <w:bCs/>
                <w:iCs/>
                <w:color w:val="000000" w:themeColor="text1"/>
                <w:szCs w:val="21"/>
                <w14:textFill>
                  <w14:solidFill>
                    <w14:schemeClr w14:val="tx1"/>
                  </w14:solidFill>
                </w14:textFill>
              </w:rPr>
            </w:pPr>
            <w:r>
              <w:rPr>
                <w:rFonts w:hint="eastAsia" w:ascii="宋体" w:hAnsi="宋体"/>
                <w:bCs/>
                <w:iC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 xml:space="preserve">媒体采访            </w:t>
            </w:r>
            <w:r>
              <w:rPr>
                <w:rFonts w:hint="eastAsia" w:ascii="宋体" w:hAnsi="宋体"/>
                <w:bCs/>
                <w:iCs/>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业绩说明会</w:t>
            </w:r>
          </w:p>
          <w:p w14:paraId="69744CC0">
            <w:pPr>
              <w:spacing w:line="480" w:lineRule="atLeast"/>
              <w:rPr>
                <w:rFonts w:ascii="宋体" w:hAnsi="宋体"/>
                <w:bCs/>
                <w:iCs/>
                <w:color w:val="000000" w:themeColor="text1"/>
                <w:szCs w:val="21"/>
                <w14:textFill>
                  <w14:solidFill>
                    <w14:schemeClr w14:val="tx1"/>
                  </w14:solidFill>
                </w14:textFill>
              </w:rPr>
            </w:pPr>
            <w:r>
              <w:rPr>
                <w:rFonts w:hint="eastAsia" w:ascii="宋体" w:hAnsi="宋体"/>
                <w:bCs/>
                <w:iC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 xml:space="preserve">新闻发布会          </w:t>
            </w:r>
            <w:r>
              <w:rPr>
                <w:rFonts w:hint="eastAsia" w:ascii="宋体" w:hAnsi="宋体"/>
                <w:bCs/>
                <w:iC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路演活动</w:t>
            </w:r>
          </w:p>
          <w:p w14:paraId="1A68DCAE">
            <w:pPr>
              <w:tabs>
                <w:tab w:val="left" w:pos="2210"/>
                <w:tab w:val="center" w:pos="3199"/>
              </w:tabs>
              <w:spacing w:line="480" w:lineRule="atLeast"/>
              <w:rPr>
                <w:rFonts w:hint="eastAsia" w:ascii="宋体" w:hAnsi="宋体"/>
                <w:bCs/>
                <w:iCs/>
                <w:color w:val="000000" w:themeColor="text1"/>
                <w:szCs w:val="21"/>
                <w14:textFill>
                  <w14:solidFill>
                    <w14:schemeClr w14:val="tx1"/>
                  </w14:solidFill>
                </w14:textFill>
              </w:rPr>
            </w:pPr>
            <w:r>
              <w:rPr>
                <w:rFonts w:hint="eastAsia" w:ascii="宋体" w:hAnsi="宋体"/>
                <w:bCs/>
                <w:iC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现场参观</w:t>
            </w:r>
            <w:r>
              <w:rPr>
                <w:rFonts w:hint="eastAsia" w:ascii="宋体" w:hAnsi="宋体"/>
                <w:bCs/>
                <w:iCs/>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其他 （</w:t>
            </w:r>
            <w:r>
              <w:rPr>
                <w:rFonts w:hint="eastAsia" w:ascii="宋体" w:hAnsi="宋体"/>
                <w:color w:val="000000" w:themeColor="text1"/>
                <w:szCs w:val="21"/>
                <w:u w:val="single"/>
                <w14:textFill>
                  <w14:solidFill>
                    <w14:schemeClr w14:val="tx1"/>
                  </w14:solidFill>
                </w14:textFill>
              </w:rPr>
              <w:t>请文字说明其他活动内容）</w:t>
            </w:r>
          </w:p>
        </w:tc>
      </w:tr>
      <w:tr w14:paraId="4975F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1581" w:type="dxa"/>
            <w:shd w:val="clear" w:color="auto" w:fill="auto"/>
            <w:vAlign w:val="center"/>
          </w:tcPr>
          <w:p w14:paraId="66504776">
            <w:pPr>
              <w:rPr>
                <w:rFonts w:hint="default" w:ascii="宋体" w:hAnsi="宋体" w:eastAsia="宋体"/>
                <w:b/>
                <w:bCs/>
                <w:iCs/>
                <w:color w:val="000000" w:themeColor="text1"/>
                <w:szCs w:val="21"/>
                <w:lang w:val="en-US" w:eastAsia="zh-CN"/>
                <w14:textFill>
                  <w14:solidFill>
                    <w14:schemeClr w14:val="tx1"/>
                  </w14:solidFill>
                </w14:textFill>
              </w:rPr>
            </w:pPr>
            <w:r>
              <w:rPr>
                <w:rFonts w:hint="eastAsia" w:ascii="宋体" w:hAnsi="宋体"/>
                <w:b/>
                <w:bCs/>
                <w:iCs/>
                <w:color w:val="000000" w:themeColor="text1"/>
                <w:szCs w:val="21"/>
                <w:lang w:val="en-US" w:eastAsia="zh-CN"/>
                <w14:textFill>
                  <w14:solidFill>
                    <w14:schemeClr w14:val="tx1"/>
                  </w14:solidFill>
                </w14:textFill>
              </w:rPr>
              <w:t>活动主题</w:t>
            </w:r>
          </w:p>
        </w:tc>
        <w:tc>
          <w:tcPr>
            <w:tcW w:w="7146" w:type="dxa"/>
            <w:tcBorders>
              <w:bottom w:val="single" w:color="FFFFFF" w:themeColor="background1" w:sz="4" w:space="0"/>
            </w:tcBorders>
            <w:shd w:val="clear" w:color="auto" w:fill="auto"/>
            <w:vAlign w:val="center"/>
          </w:tcPr>
          <w:p w14:paraId="06800718">
            <w:pPr>
              <w:spacing w:line="240" w:lineRule="auto"/>
              <w:jc w:val="both"/>
              <w:rPr>
                <w:rFonts w:ascii="宋体" w:hAnsi="宋体"/>
                <w:bCs/>
                <w:iCs/>
                <w:color w:val="000000" w:themeColor="text1"/>
                <w:szCs w:val="21"/>
                <w14:textFill>
                  <w14:solidFill>
                    <w14:schemeClr w14:val="tx1"/>
                  </w14:solidFill>
                </w14:textFill>
              </w:rPr>
            </w:pPr>
            <w:r>
              <w:rPr>
                <w:rFonts w:hint="eastAsia" w:ascii="宋体" w:hAnsi="宋体"/>
                <w:bCs/>
                <w:iCs/>
                <w:color w:val="000000" w:themeColor="text1"/>
                <w:szCs w:val="21"/>
                <w14:textFill>
                  <w14:solidFill>
                    <w14:schemeClr w14:val="tx1"/>
                  </w14:solidFill>
                </w14:textFill>
              </w:rPr>
              <w:t>麦加芯彩202</w:t>
            </w:r>
            <w:r>
              <w:rPr>
                <w:rFonts w:hint="default" w:ascii="宋体" w:hAnsi="宋体"/>
                <w:bCs/>
                <w:iCs/>
                <w:color w:val="000000" w:themeColor="text1"/>
                <w:szCs w:val="21"/>
                <w:lang w:val="en-US"/>
                <w14:textFill>
                  <w14:solidFill>
                    <w14:schemeClr w14:val="tx1"/>
                  </w14:solidFill>
                </w14:textFill>
              </w:rPr>
              <w:t>6</w:t>
            </w:r>
            <w:r>
              <w:rPr>
                <w:rFonts w:hint="eastAsia" w:ascii="宋体" w:hAnsi="宋体"/>
                <w:bCs/>
                <w:iCs/>
                <w:color w:val="000000" w:themeColor="text1"/>
                <w:szCs w:val="21"/>
                <w14:textFill>
                  <w14:solidFill>
                    <w14:schemeClr w14:val="tx1"/>
                  </w14:solidFill>
                </w14:textFill>
              </w:rPr>
              <w:t>年</w:t>
            </w:r>
            <w:r>
              <w:rPr>
                <w:rFonts w:hint="eastAsia" w:ascii="宋体" w:hAnsi="宋体"/>
                <w:bCs/>
                <w:iCs/>
                <w:color w:val="000000" w:themeColor="text1"/>
                <w:szCs w:val="21"/>
                <w:lang w:val="en-US" w:eastAsia="zh-CN"/>
                <w14:textFill>
                  <w14:solidFill>
                    <w14:schemeClr w14:val="tx1"/>
                  </w14:solidFill>
                </w14:textFill>
              </w:rPr>
              <w:t>半</w:t>
            </w:r>
            <w:r>
              <w:rPr>
                <w:rFonts w:hint="eastAsia" w:ascii="宋体" w:hAnsi="宋体"/>
                <w:bCs/>
                <w:iCs/>
                <w:color w:val="000000" w:themeColor="text1"/>
                <w:szCs w:val="21"/>
                <w14:textFill>
                  <w14:solidFill>
                    <w14:schemeClr w14:val="tx1"/>
                  </w14:solidFill>
                </w14:textFill>
              </w:rPr>
              <w:t>年度业绩说明会</w:t>
            </w:r>
            <w:bookmarkStart w:id="1" w:name="_GoBack"/>
            <w:bookmarkEnd w:id="1"/>
          </w:p>
        </w:tc>
      </w:tr>
      <w:tr w14:paraId="0590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81" w:type="dxa"/>
            <w:shd w:val="clear" w:color="auto" w:fill="auto"/>
            <w:vAlign w:val="center"/>
          </w:tcPr>
          <w:p w14:paraId="68497D19">
            <w:pPr>
              <w:rPr>
                <w:rFonts w:ascii="宋体" w:hAnsi="宋体"/>
                <w:b/>
                <w:bCs/>
                <w:iCs/>
                <w:color w:val="000000" w:themeColor="text1"/>
                <w:szCs w:val="21"/>
                <w14:textFill>
                  <w14:solidFill>
                    <w14:schemeClr w14:val="tx1"/>
                  </w14:solidFill>
                </w14:textFill>
              </w:rPr>
            </w:pPr>
            <w:r>
              <w:rPr>
                <w:rFonts w:hint="eastAsia" w:ascii="宋体" w:hAnsi="宋体"/>
                <w:b/>
                <w:bCs/>
                <w:iCs/>
                <w:color w:val="000000" w:themeColor="text1"/>
                <w:szCs w:val="21"/>
                <w14:textFill>
                  <w14:solidFill>
                    <w14:schemeClr w14:val="tx1"/>
                  </w14:solidFill>
                </w14:textFill>
              </w:rPr>
              <w:t>时间</w:t>
            </w:r>
          </w:p>
        </w:tc>
        <w:tc>
          <w:tcPr>
            <w:tcW w:w="7146" w:type="dxa"/>
            <w:shd w:val="clear" w:color="auto" w:fill="auto"/>
            <w:vAlign w:val="center"/>
          </w:tcPr>
          <w:p w14:paraId="6B266CDC">
            <w:pPr>
              <w:rPr>
                <w:rFonts w:ascii="宋体" w:hAnsi="宋体"/>
                <w:bCs/>
                <w:iCs/>
                <w:color w:val="000000" w:themeColor="text1"/>
                <w:szCs w:val="21"/>
                <w14:textFill>
                  <w14:solidFill>
                    <w14:schemeClr w14:val="tx1"/>
                  </w14:solidFill>
                </w14:textFill>
              </w:rPr>
            </w:pPr>
            <w:r>
              <w:rPr>
                <w:rFonts w:hint="eastAsia" w:ascii="宋体" w:hAnsi="宋体"/>
                <w:bCs/>
                <w:iCs/>
                <w:color w:val="000000" w:themeColor="text1"/>
                <w:szCs w:val="21"/>
                <w14:textFill>
                  <w14:solidFill>
                    <w14:schemeClr w14:val="tx1"/>
                  </w14:solidFill>
                </w14:textFill>
              </w:rPr>
              <w:t>202</w:t>
            </w:r>
            <w:r>
              <w:rPr>
                <w:rFonts w:hint="default" w:ascii="宋体" w:hAnsi="宋体"/>
                <w:bCs/>
                <w:iCs/>
                <w:color w:val="000000" w:themeColor="text1"/>
                <w:szCs w:val="21"/>
                <w:lang w:val="en-US" w:eastAsia="zh-CN"/>
                <w14:textFill>
                  <w14:solidFill>
                    <w14:schemeClr w14:val="tx1"/>
                  </w14:solidFill>
                </w14:textFill>
              </w:rPr>
              <w:t>6</w:t>
            </w:r>
            <w:r>
              <w:rPr>
                <w:rFonts w:hint="eastAsia" w:ascii="宋体" w:hAnsi="宋体"/>
                <w:bCs/>
                <w:iCs/>
                <w:color w:val="000000" w:themeColor="text1"/>
                <w:szCs w:val="21"/>
                <w14:textFill>
                  <w14:solidFill>
                    <w14:schemeClr w14:val="tx1"/>
                  </w14:solidFill>
                </w14:textFill>
              </w:rPr>
              <w:t>年</w:t>
            </w:r>
            <w:r>
              <w:rPr>
                <w:rFonts w:hint="eastAsia" w:ascii="宋体" w:hAnsi="宋体"/>
                <w:bCs/>
                <w:iCs/>
                <w:color w:val="000000" w:themeColor="text1"/>
                <w:szCs w:val="21"/>
                <w:lang w:val="en-US" w:eastAsia="zh-CN"/>
                <w14:textFill>
                  <w14:solidFill>
                    <w14:schemeClr w14:val="tx1"/>
                  </w14:solidFill>
                </w14:textFill>
              </w:rPr>
              <w:t>9</w:t>
            </w:r>
            <w:r>
              <w:rPr>
                <w:rFonts w:hint="eastAsia" w:ascii="宋体" w:hAnsi="宋体"/>
                <w:bCs/>
                <w:iCs/>
                <w:color w:val="000000" w:themeColor="text1"/>
                <w:szCs w:val="21"/>
                <w14:textFill>
                  <w14:solidFill>
                    <w14:schemeClr w14:val="tx1"/>
                  </w14:solidFill>
                </w14:textFill>
              </w:rPr>
              <w:t>月</w:t>
            </w:r>
            <w:r>
              <w:rPr>
                <w:rFonts w:hint="eastAsia" w:ascii="宋体" w:hAnsi="宋体"/>
                <w:bCs/>
                <w:iCs/>
                <w:color w:val="000000" w:themeColor="text1"/>
                <w:szCs w:val="21"/>
                <w:lang w:val="en-US" w:eastAsia="zh-CN"/>
                <w14:textFill>
                  <w14:solidFill>
                    <w14:schemeClr w14:val="tx1"/>
                  </w14:solidFill>
                </w14:textFill>
              </w:rPr>
              <w:t>11</w:t>
            </w:r>
            <w:r>
              <w:rPr>
                <w:rFonts w:hint="eastAsia" w:ascii="宋体" w:hAnsi="宋体"/>
                <w:bCs/>
                <w:iCs/>
                <w:color w:val="000000" w:themeColor="text1"/>
                <w:szCs w:val="21"/>
                <w14:textFill>
                  <w14:solidFill>
                    <w14:schemeClr w14:val="tx1"/>
                  </w14:solidFill>
                </w14:textFill>
              </w:rPr>
              <w:t>日</w:t>
            </w:r>
            <w:r>
              <w:rPr>
                <w:rFonts w:hint="eastAsia" w:ascii="宋体" w:hAnsi="宋体"/>
                <w:bCs/>
                <w:iCs/>
                <w:color w:val="000000" w:themeColor="text1"/>
                <w:szCs w:val="21"/>
                <w:lang w:val="en-US" w:eastAsia="zh-CN"/>
                <w14:textFill>
                  <w14:solidFill>
                    <w14:schemeClr w14:val="tx1"/>
                  </w14:solidFill>
                </w14:textFill>
              </w:rPr>
              <w:t>1</w:t>
            </w:r>
            <w:r>
              <w:rPr>
                <w:rFonts w:hint="default" w:ascii="宋体" w:hAnsi="宋体"/>
                <w:bCs/>
                <w:iCs/>
                <w:color w:val="000000" w:themeColor="text1"/>
                <w:szCs w:val="21"/>
                <w:lang w:val="en-US" w:eastAsia="zh-CN"/>
                <w14:textFill>
                  <w14:solidFill>
                    <w14:schemeClr w14:val="tx1"/>
                  </w14:solidFill>
                </w14:textFill>
              </w:rPr>
              <w:t>0</w:t>
            </w:r>
            <w:r>
              <w:rPr>
                <w:rFonts w:hint="eastAsia" w:ascii="宋体" w:hAnsi="宋体"/>
                <w:bCs/>
                <w:iCs/>
                <w:color w:val="000000" w:themeColor="text1"/>
                <w:szCs w:val="21"/>
                <w14:textFill>
                  <w14:solidFill>
                    <w14:schemeClr w14:val="tx1"/>
                  </w14:solidFill>
                </w14:textFill>
              </w:rPr>
              <w:t>:</w:t>
            </w:r>
            <w:r>
              <w:rPr>
                <w:rFonts w:hint="default" w:ascii="宋体" w:hAnsi="宋体"/>
                <w:bCs/>
                <w:iCs/>
                <w:color w:val="000000" w:themeColor="text1"/>
                <w:szCs w:val="21"/>
                <w:lang w:val="en-US"/>
                <w14:textFill>
                  <w14:solidFill>
                    <w14:schemeClr w14:val="tx1"/>
                  </w14:solidFill>
                </w14:textFill>
              </w:rPr>
              <w:t>3</w:t>
            </w:r>
            <w:r>
              <w:rPr>
                <w:rFonts w:hint="eastAsia" w:ascii="宋体" w:hAnsi="宋体"/>
                <w:bCs/>
                <w:iCs/>
                <w:color w:val="000000" w:themeColor="text1"/>
                <w:szCs w:val="21"/>
                <w14:textFill>
                  <w14:solidFill>
                    <w14:schemeClr w14:val="tx1"/>
                  </w14:solidFill>
                </w14:textFill>
              </w:rPr>
              <w:t>0-1</w:t>
            </w:r>
            <w:r>
              <w:rPr>
                <w:rFonts w:hint="default" w:ascii="宋体" w:hAnsi="宋体"/>
                <w:bCs/>
                <w:iCs/>
                <w:color w:val="000000" w:themeColor="text1"/>
                <w:szCs w:val="21"/>
                <w:lang w:val="en-US"/>
                <w14:textFill>
                  <w14:solidFill>
                    <w14:schemeClr w14:val="tx1"/>
                  </w14:solidFill>
                </w14:textFill>
              </w:rPr>
              <w:t>1</w:t>
            </w:r>
            <w:r>
              <w:rPr>
                <w:rFonts w:hint="eastAsia" w:ascii="宋体" w:hAnsi="宋体"/>
                <w:bCs/>
                <w:iCs/>
                <w:color w:val="000000" w:themeColor="text1"/>
                <w:szCs w:val="21"/>
                <w14:textFill>
                  <w14:solidFill>
                    <w14:schemeClr w14:val="tx1"/>
                  </w14:solidFill>
                </w14:textFill>
              </w:rPr>
              <w:t>:</w:t>
            </w:r>
            <w:r>
              <w:rPr>
                <w:rFonts w:hint="default" w:ascii="宋体" w:hAnsi="宋体"/>
                <w:bCs/>
                <w:iCs/>
                <w:color w:val="000000" w:themeColor="text1"/>
                <w:szCs w:val="21"/>
                <w:lang w:val="en-US"/>
                <w14:textFill>
                  <w14:solidFill>
                    <w14:schemeClr w14:val="tx1"/>
                  </w14:solidFill>
                </w14:textFill>
              </w:rPr>
              <w:t>3</w:t>
            </w:r>
            <w:r>
              <w:rPr>
                <w:rFonts w:hint="eastAsia" w:ascii="宋体" w:hAnsi="宋体"/>
                <w:bCs/>
                <w:iCs/>
                <w:color w:val="000000" w:themeColor="text1"/>
                <w:szCs w:val="21"/>
                <w14:textFill>
                  <w14:solidFill>
                    <w14:schemeClr w14:val="tx1"/>
                  </w14:solidFill>
                </w14:textFill>
              </w:rPr>
              <w:t>0</w:t>
            </w:r>
          </w:p>
        </w:tc>
      </w:tr>
      <w:tr w14:paraId="0E36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581" w:type="dxa"/>
            <w:shd w:val="clear" w:color="auto" w:fill="auto"/>
            <w:vAlign w:val="center"/>
          </w:tcPr>
          <w:p w14:paraId="7560457E">
            <w:pPr>
              <w:rPr>
                <w:rFonts w:ascii="宋体" w:hAnsi="宋体"/>
                <w:b/>
                <w:bCs/>
                <w:iCs/>
                <w:color w:val="000000" w:themeColor="text1"/>
                <w:szCs w:val="21"/>
                <w14:textFill>
                  <w14:solidFill>
                    <w14:schemeClr w14:val="tx1"/>
                  </w14:solidFill>
                </w14:textFill>
              </w:rPr>
            </w:pPr>
            <w:r>
              <w:rPr>
                <w:rFonts w:hint="eastAsia" w:ascii="宋体" w:hAnsi="宋体"/>
                <w:b/>
                <w:bCs/>
                <w:iCs/>
                <w:color w:val="000000" w:themeColor="text1"/>
                <w:szCs w:val="21"/>
                <w14:textFill>
                  <w14:solidFill>
                    <w14:schemeClr w14:val="tx1"/>
                  </w14:solidFill>
                </w14:textFill>
              </w:rPr>
              <w:t>地点</w:t>
            </w:r>
          </w:p>
        </w:tc>
        <w:tc>
          <w:tcPr>
            <w:tcW w:w="7146" w:type="dxa"/>
            <w:shd w:val="clear" w:color="auto" w:fill="auto"/>
            <w:vAlign w:val="center"/>
          </w:tcPr>
          <w:p w14:paraId="4F35B2F9">
            <w:pPr>
              <w:jc w:val="left"/>
              <w:rPr>
                <w:rFonts w:hint="default" w:ascii="宋体" w:hAnsi="宋体" w:eastAsia="宋体"/>
                <w:bCs/>
                <w:iCs/>
                <w:color w:val="000000" w:themeColor="text1"/>
                <w:spacing w:val="-23"/>
                <w:sz w:val="21"/>
                <w:szCs w:val="21"/>
                <w:lang w:val="en-US" w:eastAsia="zh-CN"/>
                <w14:textFill>
                  <w14:solidFill>
                    <w14:schemeClr w14:val="tx1"/>
                  </w14:solidFill>
                </w14:textFill>
              </w:rPr>
            </w:pPr>
            <w:r>
              <w:rPr>
                <w:rFonts w:hint="eastAsia" w:ascii="宋体" w:hAnsi="宋体"/>
                <w:bCs/>
                <w:iCs/>
                <w:color w:val="000000" w:themeColor="text1"/>
                <w:spacing w:val="-23"/>
                <w:sz w:val="21"/>
                <w:szCs w:val="21"/>
                <w:lang w:val="en-US" w:eastAsia="zh-CN"/>
                <w14:textFill>
                  <w14:solidFill>
                    <w14:schemeClr w14:val="tx1"/>
                  </w14:solidFill>
                </w14:textFill>
              </w:rPr>
              <w:t xml:space="preserve">上 海 证 券 交 易 所 上 证 路 演 中 心 </w:t>
            </w:r>
            <w:r>
              <w:rPr>
                <w:rFonts w:hint="eastAsia" w:ascii="宋体" w:hAnsi="宋体"/>
                <w:bCs/>
                <w:iCs/>
                <w:color w:val="000000" w:themeColor="text1"/>
                <w:spacing w:val="-23"/>
                <w:sz w:val="21"/>
                <w:szCs w:val="21"/>
                <w:lang w:val="en-US" w:eastAsia="zh-CN"/>
                <w14:textFill>
                  <w14:solidFill>
                    <w14:schemeClr w14:val="tx1"/>
                  </w14:solidFill>
                </w14:textFill>
              </w:rPr>
              <w:br w:type="textWrapping"/>
            </w:r>
            <w:r>
              <w:rPr>
                <w:rFonts w:hint="eastAsia" w:ascii="宋体" w:hAnsi="宋体"/>
                <w:bCs/>
                <w:iCs/>
                <w:color w:val="000000" w:themeColor="text1"/>
                <w:spacing w:val="-23"/>
                <w:sz w:val="21"/>
                <w:szCs w:val="21"/>
                <w:lang w:val="en-US" w:eastAsia="zh-CN"/>
                <w14:textFill>
                  <w14:solidFill>
                    <w14:schemeClr w14:val="tx1"/>
                  </w14:solidFill>
                </w14:textFill>
              </w:rPr>
              <w:t>（ 网 址 ：</w:t>
            </w:r>
            <w:r>
              <w:rPr>
                <w:rFonts w:hint="eastAsia" w:ascii="宋体" w:hAnsi="宋体" w:eastAsia="宋体" w:cs="宋体"/>
                <w:bCs/>
                <w:iCs/>
                <w:color w:val="000000" w:themeColor="text1"/>
                <w:spacing w:val="6"/>
                <w:sz w:val="21"/>
                <w:szCs w:val="21"/>
                <w:lang w:val="en-US" w:eastAsia="zh-CN"/>
                <w14:textFill>
                  <w14:solidFill>
                    <w14:schemeClr w14:val="tx1"/>
                  </w14:solidFill>
                </w14:textFill>
              </w:rPr>
              <w:t>http://roadshow.sseinfo.com/</w:t>
            </w:r>
            <w:r>
              <w:rPr>
                <w:rFonts w:hint="eastAsia" w:ascii="宋体" w:hAnsi="宋体"/>
                <w:bCs/>
                <w:iCs/>
                <w:color w:val="000000" w:themeColor="text1"/>
                <w:spacing w:val="-23"/>
                <w:sz w:val="21"/>
                <w:szCs w:val="21"/>
                <w:lang w:val="en-US" w:eastAsia="zh-CN"/>
                <w14:textFill>
                  <w14:solidFill>
                    <w14:schemeClr w14:val="tx1"/>
                  </w14:solidFill>
                </w14:textFill>
              </w:rPr>
              <w:t>)</w:t>
            </w:r>
          </w:p>
        </w:tc>
      </w:tr>
      <w:tr w14:paraId="0589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581" w:type="dxa"/>
            <w:shd w:val="clear" w:color="auto" w:fill="auto"/>
            <w:vAlign w:val="center"/>
          </w:tcPr>
          <w:p w14:paraId="696AE364">
            <w:pPr>
              <w:rPr>
                <w:rFonts w:ascii="宋体" w:hAnsi="宋体"/>
                <w:b/>
                <w:bCs/>
                <w:iCs/>
                <w:color w:val="000000" w:themeColor="text1"/>
                <w:szCs w:val="21"/>
                <w14:textFill>
                  <w14:solidFill>
                    <w14:schemeClr w14:val="tx1"/>
                  </w14:solidFill>
                </w14:textFill>
              </w:rPr>
            </w:pPr>
            <w:r>
              <w:rPr>
                <w:rFonts w:hint="eastAsia" w:ascii="宋体" w:hAnsi="宋体"/>
                <w:b/>
                <w:bCs/>
                <w:iCs/>
                <w:color w:val="000000" w:themeColor="text1"/>
                <w:szCs w:val="21"/>
                <w14:textFill>
                  <w14:solidFill>
                    <w14:schemeClr w14:val="tx1"/>
                  </w14:solidFill>
                </w14:textFill>
              </w:rPr>
              <w:t>上市公司接待人员姓名</w:t>
            </w:r>
          </w:p>
        </w:tc>
        <w:tc>
          <w:tcPr>
            <w:tcW w:w="7146" w:type="dxa"/>
            <w:shd w:val="clear" w:color="auto" w:fill="auto"/>
            <w:vAlign w:val="center"/>
          </w:tcPr>
          <w:p w14:paraId="6A8E187C">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宋体" w:hAnsi="宋体"/>
                <w:bCs/>
                <w:iCs/>
                <w:color w:val="000000" w:themeColor="text1"/>
                <w:szCs w:val="21"/>
                <w:lang w:val="en-US" w:eastAsia="zh-CN"/>
                <w14:textFill>
                  <w14:solidFill>
                    <w14:schemeClr w14:val="tx1"/>
                  </w14:solidFill>
                </w14:textFill>
              </w:rPr>
            </w:pPr>
            <w:r>
              <w:rPr>
                <w:rFonts w:hint="eastAsia" w:ascii="宋体" w:hAnsi="宋体"/>
                <w:bCs/>
                <w:iCs/>
                <w:color w:val="000000" w:themeColor="text1"/>
                <w:szCs w:val="21"/>
                <w14:textFill>
                  <w14:solidFill>
                    <w14:schemeClr w14:val="tx1"/>
                  </w14:solidFill>
                </w14:textFill>
              </w:rPr>
              <w:t>董事长、总经理：黄雁夷女士</w:t>
            </w:r>
            <w:r>
              <w:rPr>
                <w:rFonts w:hint="eastAsia" w:ascii="宋体" w:hAnsi="宋体"/>
                <w:bCs/>
                <w:iCs/>
                <w:color w:val="000000" w:themeColor="text1"/>
                <w:szCs w:val="21"/>
                <w:lang w:val="en-US" w:eastAsia="zh-CN"/>
                <w14:textFill>
                  <w14:solidFill>
                    <w14:schemeClr w14:val="tx1"/>
                  </w14:solidFill>
                </w14:textFill>
              </w:rPr>
              <w:t xml:space="preserve">      </w:t>
            </w:r>
          </w:p>
          <w:p w14:paraId="2C9F45A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bCs/>
                <w:iCs/>
                <w:color w:val="000000" w:themeColor="text1"/>
                <w:szCs w:val="21"/>
                <w:lang w:val="en-US" w:eastAsia="zh-CN"/>
                <w14:textFill>
                  <w14:solidFill>
                    <w14:schemeClr w14:val="tx1"/>
                  </w14:solidFill>
                </w14:textFill>
              </w:rPr>
            </w:pPr>
            <w:r>
              <w:rPr>
                <w:rFonts w:hint="eastAsia" w:ascii="宋体" w:hAnsi="宋体"/>
                <w:bCs/>
                <w:iCs/>
                <w:color w:val="000000" w:themeColor="text1"/>
                <w:szCs w:val="21"/>
                <w:lang w:val="en-US" w:eastAsia="zh-CN"/>
                <w14:textFill>
                  <w14:solidFill>
                    <w14:schemeClr w14:val="tx1"/>
                  </w14:solidFill>
                </w14:textFill>
              </w:rPr>
              <w:t>副董事长、副总经理：罗永键先生</w:t>
            </w:r>
          </w:p>
          <w:p w14:paraId="680209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Cs/>
                <w:iCs/>
                <w:color w:val="000000" w:themeColor="text1"/>
                <w:szCs w:val="21"/>
                <w14:textFill>
                  <w14:solidFill>
                    <w14:schemeClr w14:val="tx1"/>
                  </w14:solidFill>
                </w14:textFill>
              </w:rPr>
            </w:pPr>
            <w:r>
              <w:rPr>
                <w:rFonts w:hint="eastAsia" w:ascii="宋体" w:hAnsi="宋体"/>
                <w:bCs/>
                <w:iCs/>
                <w:color w:val="000000" w:themeColor="text1"/>
                <w:szCs w:val="21"/>
                <w14:textFill>
                  <w14:solidFill>
                    <w14:schemeClr w14:val="tx1"/>
                  </w14:solidFill>
                </w14:textFill>
              </w:rPr>
              <w:t>董事会秘书、财务总监：崔健民先生</w:t>
            </w:r>
          </w:p>
          <w:p w14:paraId="7AD73884">
            <w:pPr>
              <w:keepNext w:val="0"/>
              <w:keepLines w:val="0"/>
              <w:pageBreakBefore w:val="0"/>
              <w:widowControl w:val="0"/>
              <w:kinsoku/>
              <w:wordWrap/>
              <w:overflowPunct/>
              <w:topLinePunct w:val="0"/>
              <w:autoSpaceDE/>
              <w:autoSpaceDN/>
              <w:bidi w:val="0"/>
              <w:adjustRightInd/>
              <w:snapToGrid/>
              <w:spacing w:after="157" w:afterLines="50" w:line="312" w:lineRule="auto"/>
              <w:textAlignment w:val="auto"/>
              <w:rPr>
                <w:rFonts w:ascii="宋体" w:hAnsi="宋体"/>
                <w:bCs/>
                <w:iCs/>
                <w:color w:val="000000" w:themeColor="text1"/>
                <w:szCs w:val="21"/>
                <w14:textFill>
                  <w14:solidFill>
                    <w14:schemeClr w14:val="tx1"/>
                  </w14:solidFill>
                </w14:textFill>
              </w:rPr>
            </w:pPr>
            <w:r>
              <w:rPr>
                <w:rFonts w:hint="eastAsia" w:ascii="宋体" w:hAnsi="宋体"/>
                <w:bCs/>
                <w:iCs/>
                <w:color w:val="000000" w:themeColor="text1"/>
                <w:szCs w:val="21"/>
                <w14:textFill>
                  <w14:solidFill>
                    <w14:schemeClr w14:val="tx1"/>
                  </w14:solidFill>
                </w14:textFill>
              </w:rPr>
              <w:t>独立董事：</w:t>
            </w:r>
            <w:r>
              <w:rPr>
                <w:rFonts w:hint="eastAsia" w:ascii="宋体" w:hAnsi="宋体"/>
                <w:bCs/>
                <w:iCs/>
                <w:color w:val="000000" w:themeColor="text1"/>
                <w:szCs w:val="21"/>
                <w:lang w:val="en-US" w:eastAsia="zh-CN"/>
                <w14:textFill>
                  <w14:solidFill>
                    <w14:schemeClr w14:val="tx1"/>
                  </w14:solidFill>
                </w14:textFill>
              </w:rPr>
              <w:t>沈诚</w:t>
            </w:r>
            <w:r>
              <w:rPr>
                <w:rFonts w:hint="eastAsia" w:ascii="宋体" w:hAnsi="宋体"/>
                <w:bCs/>
                <w:iCs/>
                <w:color w:val="000000" w:themeColor="text1"/>
                <w:szCs w:val="21"/>
                <w14:textFill>
                  <w14:solidFill>
                    <w14:schemeClr w14:val="tx1"/>
                  </w14:solidFill>
                </w14:textFill>
              </w:rPr>
              <w:t>先生</w:t>
            </w:r>
          </w:p>
        </w:tc>
      </w:tr>
      <w:tr w14:paraId="268AE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581" w:type="dxa"/>
            <w:shd w:val="clear" w:color="auto" w:fill="auto"/>
            <w:vAlign w:val="center"/>
          </w:tcPr>
          <w:p w14:paraId="612C2682">
            <w:pPr>
              <w:jc w:val="left"/>
              <w:rPr>
                <w:rFonts w:ascii="宋体" w:hAnsi="宋体"/>
                <w:b/>
                <w:bCs/>
                <w:iCs/>
                <w:color w:val="000000" w:themeColor="text1"/>
                <w:szCs w:val="21"/>
                <w14:textFill>
                  <w14:solidFill>
                    <w14:schemeClr w14:val="tx1"/>
                  </w14:solidFill>
                </w14:textFill>
              </w:rPr>
            </w:pPr>
            <w:bookmarkStart w:id="0" w:name="_Hlk150442484"/>
            <w:r>
              <w:rPr>
                <w:rFonts w:hint="eastAsia" w:ascii="宋体" w:hAnsi="宋体"/>
                <w:b/>
                <w:bCs/>
                <w:iCs/>
                <w:color w:val="000000" w:themeColor="text1"/>
                <w:szCs w:val="21"/>
                <w14:textFill>
                  <w14:solidFill>
                    <w14:schemeClr w14:val="tx1"/>
                  </w14:solidFill>
                </w14:textFill>
              </w:rPr>
              <w:t>投资者关系</w:t>
            </w:r>
          </w:p>
          <w:p w14:paraId="5E226466">
            <w:pPr>
              <w:jc w:val="left"/>
              <w:rPr>
                <w:rFonts w:ascii="宋体" w:hAnsi="宋体"/>
                <w:b/>
                <w:bCs/>
                <w:iCs/>
                <w:color w:val="000000" w:themeColor="text1"/>
                <w:szCs w:val="21"/>
                <w14:textFill>
                  <w14:solidFill>
                    <w14:schemeClr w14:val="tx1"/>
                  </w14:solidFill>
                </w14:textFill>
              </w:rPr>
            </w:pPr>
            <w:r>
              <w:rPr>
                <w:rFonts w:hint="eastAsia" w:ascii="宋体" w:hAnsi="宋体"/>
                <w:b/>
                <w:bCs/>
                <w:iCs/>
                <w:color w:val="000000" w:themeColor="text1"/>
                <w:szCs w:val="21"/>
                <w14:textFill>
                  <w14:solidFill>
                    <w14:schemeClr w14:val="tx1"/>
                  </w14:solidFill>
                </w14:textFill>
              </w:rPr>
              <w:t>活动主要</w:t>
            </w:r>
          </w:p>
          <w:p w14:paraId="3418EC05">
            <w:pPr>
              <w:rPr>
                <w:rFonts w:ascii="宋体" w:hAnsi="宋体"/>
                <w:b/>
                <w:bCs/>
                <w:iCs/>
                <w:color w:val="000000" w:themeColor="text1"/>
                <w:szCs w:val="21"/>
                <w14:textFill>
                  <w14:solidFill>
                    <w14:schemeClr w14:val="tx1"/>
                  </w14:solidFill>
                </w14:textFill>
              </w:rPr>
            </w:pPr>
            <w:r>
              <w:rPr>
                <w:rFonts w:hint="eastAsia" w:ascii="宋体" w:hAnsi="宋体"/>
                <w:b/>
                <w:bCs/>
                <w:iCs/>
                <w:color w:val="000000" w:themeColor="text1"/>
                <w:szCs w:val="21"/>
                <w14:textFill>
                  <w14:solidFill>
                    <w14:schemeClr w14:val="tx1"/>
                  </w14:solidFill>
                </w14:textFill>
              </w:rPr>
              <w:t>内容介绍</w:t>
            </w:r>
          </w:p>
          <w:p w14:paraId="1CCFA22E">
            <w:pPr>
              <w:rPr>
                <w:rFonts w:ascii="宋体" w:hAnsi="宋体"/>
                <w:b/>
                <w:bCs/>
                <w:iCs/>
                <w:color w:val="000000" w:themeColor="text1"/>
                <w:szCs w:val="21"/>
                <w14:textFill>
                  <w14:solidFill>
                    <w14:schemeClr w14:val="tx1"/>
                  </w14:solidFill>
                </w14:textFill>
              </w:rPr>
            </w:pPr>
          </w:p>
        </w:tc>
        <w:tc>
          <w:tcPr>
            <w:tcW w:w="7146" w:type="dxa"/>
            <w:shd w:val="clear" w:color="auto" w:fill="auto"/>
          </w:tcPr>
          <w:p w14:paraId="11B78DB5">
            <w:pPr>
              <w:spacing w:before="156" w:beforeLines="50" w:line="360" w:lineRule="auto"/>
              <w:ind w:firstLine="420" w:firstLineChars="200"/>
              <w:rPr>
                <w:rFonts w:hint="eastAsia" w:ascii="宋体" w:hAnsi="宋体"/>
                <w:bCs/>
                <w:iCs/>
                <w:color w:val="000000" w:themeColor="text1"/>
                <w:szCs w:val="21"/>
                <w14:textFill>
                  <w14:solidFill>
                    <w14:schemeClr w14:val="tx1"/>
                  </w14:solidFill>
                </w14:textFill>
              </w:rPr>
            </w:pPr>
            <w:r>
              <w:rPr>
                <w:rFonts w:hint="eastAsia" w:ascii="宋体" w:hAnsi="宋体"/>
                <w:bCs/>
                <w:iCs/>
                <w:color w:val="000000" w:themeColor="text1"/>
                <w:szCs w:val="21"/>
                <w14:textFill>
                  <w14:solidFill>
                    <w14:schemeClr w14:val="tx1"/>
                  </w14:solidFill>
                </w14:textFill>
              </w:rPr>
              <w:t>公司在上证路演</w:t>
            </w:r>
            <w:r>
              <w:rPr>
                <w:rFonts w:hint="eastAsia" w:ascii="宋体" w:hAnsi="宋体"/>
                <w:bCs/>
                <w:iCs/>
                <w:color w:val="000000" w:themeColor="text1"/>
                <w:szCs w:val="21"/>
                <w:lang w:val="en-US" w:eastAsia="zh-CN"/>
                <w14:textFill>
                  <w14:solidFill>
                    <w14:schemeClr w14:val="tx1"/>
                  </w14:solidFill>
                </w14:textFill>
              </w:rPr>
              <w:t>中心</w:t>
            </w:r>
            <w:r>
              <w:rPr>
                <w:rFonts w:hint="eastAsia" w:ascii="宋体" w:hAnsi="宋体"/>
                <w:bCs/>
                <w:iCs/>
                <w:color w:val="000000" w:themeColor="text1"/>
                <w:szCs w:val="21"/>
                <w14:textFill>
                  <w14:solidFill>
                    <w14:schemeClr w14:val="tx1"/>
                  </w14:solidFill>
                </w14:textFill>
              </w:rPr>
              <w:t>以视频</w:t>
            </w:r>
            <w:r>
              <w:rPr>
                <w:rFonts w:hint="eastAsia" w:ascii="宋体" w:hAnsi="宋体"/>
                <w:bCs/>
                <w:iCs/>
                <w:color w:val="000000" w:themeColor="text1"/>
                <w:szCs w:val="21"/>
                <w:lang w:val="en-US" w:eastAsia="zh-CN"/>
                <w14:textFill>
                  <w14:solidFill>
                    <w14:schemeClr w14:val="tx1"/>
                  </w14:solidFill>
                </w14:textFill>
              </w:rPr>
              <w:t>录</w:t>
            </w:r>
            <w:r>
              <w:rPr>
                <w:rFonts w:hint="eastAsia" w:ascii="宋体" w:hAnsi="宋体"/>
                <w:bCs/>
                <w:iCs/>
                <w:color w:val="000000" w:themeColor="text1"/>
                <w:szCs w:val="21"/>
                <w14:textFill>
                  <w14:solidFill>
                    <w14:schemeClr w14:val="tx1"/>
                  </w14:solidFill>
                </w14:textFill>
              </w:rPr>
              <w:t>播和网络</w:t>
            </w:r>
            <w:r>
              <w:rPr>
                <w:rFonts w:hint="eastAsia" w:ascii="宋体" w:hAnsi="宋体"/>
                <w:bCs/>
                <w:iCs/>
                <w:color w:val="000000" w:themeColor="text1"/>
                <w:szCs w:val="21"/>
                <w:lang w:val="en-US" w:eastAsia="zh-CN"/>
                <w14:textFill>
                  <w14:solidFill>
                    <w14:schemeClr w14:val="tx1"/>
                  </w14:solidFill>
                </w14:textFill>
              </w:rPr>
              <w:t>文字</w:t>
            </w:r>
            <w:r>
              <w:rPr>
                <w:rFonts w:hint="eastAsia" w:ascii="宋体" w:hAnsi="宋体"/>
                <w:bCs/>
                <w:iCs/>
                <w:color w:val="000000" w:themeColor="text1"/>
                <w:szCs w:val="21"/>
                <w14:textFill>
                  <w14:solidFill>
                    <w14:schemeClr w14:val="tx1"/>
                  </w14:solidFill>
                </w14:textFill>
              </w:rPr>
              <w:t>互动方式召开公司202</w:t>
            </w:r>
            <w:r>
              <w:rPr>
                <w:rFonts w:hint="eastAsia" w:ascii="宋体" w:hAnsi="宋体"/>
                <w:bCs/>
                <w:iCs/>
                <w:color w:val="000000" w:themeColor="text1"/>
                <w:szCs w:val="21"/>
                <w:lang w:val="en-US" w:eastAsia="zh-CN"/>
                <w14:textFill>
                  <w14:solidFill>
                    <w14:schemeClr w14:val="tx1"/>
                  </w14:solidFill>
                </w14:textFill>
              </w:rPr>
              <w:t>6</w:t>
            </w:r>
            <w:r>
              <w:rPr>
                <w:rFonts w:hint="eastAsia" w:ascii="宋体" w:hAnsi="宋体"/>
                <w:bCs/>
                <w:iCs/>
                <w:color w:val="000000" w:themeColor="text1"/>
                <w:szCs w:val="21"/>
                <w14:textFill>
                  <w14:solidFill>
                    <w14:schemeClr w14:val="tx1"/>
                  </w14:solidFill>
                </w14:textFill>
              </w:rPr>
              <w:t>年</w:t>
            </w:r>
            <w:r>
              <w:rPr>
                <w:rFonts w:hint="eastAsia" w:ascii="宋体" w:hAnsi="宋体"/>
                <w:bCs/>
                <w:iCs/>
                <w:color w:val="000000" w:themeColor="text1"/>
                <w:szCs w:val="21"/>
                <w:lang w:val="en-US" w:eastAsia="zh-CN"/>
                <w14:textFill>
                  <w14:solidFill>
                    <w14:schemeClr w14:val="tx1"/>
                  </w14:solidFill>
                </w14:textFill>
              </w:rPr>
              <w:t>半年度</w:t>
            </w:r>
            <w:r>
              <w:rPr>
                <w:rFonts w:hint="eastAsia" w:ascii="宋体" w:hAnsi="宋体"/>
                <w:bCs/>
                <w:iCs/>
                <w:color w:val="000000" w:themeColor="text1"/>
                <w:szCs w:val="21"/>
                <w14:textFill>
                  <w14:solidFill>
                    <w14:schemeClr w14:val="tx1"/>
                  </w14:solidFill>
                </w14:textFill>
              </w:rPr>
              <w:t>业绩说明会，针对202</w:t>
            </w:r>
            <w:r>
              <w:rPr>
                <w:rFonts w:hint="eastAsia" w:ascii="宋体" w:hAnsi="宋体"/>
                <w:bCs/>
                <w:iCs/>
                <w:color w:val="000000" w:themeColor="text1"/>
                <w:szCs w:val="21"/>
                <w:lang w:val="en-US" w:eastAsia="zh-CN"/>
                <w14:textFill>
                  <w14:solidFill>
                    <w14:schemeClr w14:val="tx1"/>
                  </w14:solidFill>
                </w14:textFill>
              </w:rPr>
              <w:t>6</w:t>
            </w:r>
            <w:r>
              <w:rPr>
                <w:rFonts w:hint="eastAsia" w:ascii="宋体" w:hAnsi="宋体"/>
                <w:bCs/>
                <w:iCs/>
                <w:color w:val="000000" w:themeColor="text1"/>
                <w:szCs w:val="21"/>
                <w14:textFill>
                  <w14:solidFill>
                    <w14:schemeClr w14:val="tx1"/>
                  </w14:solidFill>
                </w14:textFill>
              </w:rPr>
              <w:t>年</w:t>
            </w:r>
            <w:r>
              <w:rPr>
                <w:rFonts w:hint="eastAsia" w:ascii="宋体" w:hAnsi="宋体"/>
                <w:bCs/>
                <w:iCs/>
                <w:color w:val="000000" w:themeColor="text1"/>
                <w:szCs w:val="21"/>
                <w:lang w:val="en-US" w:eastAsia="zh-CN"/>
                <w14:textFill>
                  <w14:solidFill>
                    <w14:schemeClr w14:val="tx1"/>
                  </w14:solidFill>
                </w14:textFill>
              </w:rPr>
              <w:t>半年度的</w:t>
            </w:r>
            <w:r>
              <w:rPr>
                <w:rFonts w:hint="eastAsia" w:ascii="宋体" w:hAnsi="宋体"/>
                <w:bCs/>
                <w:iCs/>
                <w:color w:val="000000" w:themeColor="text1"/>
                <w:szCs w:val="21"/>
                <w14:textFill>
                  <w14:solidFill>
                    <w14:schemeClr w14:val="tx1"/>
                  </w14:solidFill>
                </w14:textFill>
              </w:rPr>
              <w:t>经营成果及</w:t>
            </w:r>
            <w:r>
              <w:rPr>
                <w:rFonts w:hint="eastAsia" w:ascii="宋体" w:hAnsi="宋体"/>
                <w:bCs/>
                <w:iCs/>
                <w:color w:val="000000" w:themeColor="text1"/>
                <w:szCs w:val="21"/>
                <w:lang w:val="en-US" w:eastAsia="zh-CN"/>
                <w14:textFill>
                  <w14:solidFill>
                    <w14:schemeClr w14:val="tx1"/>
                  </w14:solidFill>
                </w14:textFill>
              </w:rPr>
              <w:t>业绩</w:t>
            </w:r>
            <w:r>
              <w:rPr>
                <w:rFonts w:hint="eastAsia" w:ascii="宋体" w:hAnsi="宋体"/>
                <w:bCs/>
                <w:iCs/>
                <w:color w:val="000000" w:themeColor="text1"/>
                <w:szCs w:val="21"/>
                <w14:textFill>
                  <w14:solidFill>
                    <w14:schemeClr w14:val="tx1"/>
                  </w14:solidFill>
                </w14:textFill>
              </w:rPr>
              <w:t>情况与投资者进行互动交流和沟通，在信息披露允许的范围内就投资者普遍关注的问题进行回答。</w:t>
            </w:r>
          </w:p>
          <w:p w14:paraId="1AE269C2">
            <w:pPr>
              <w:spacing w:before="156" w:beforeLines="50" w:line="360" w:lineRule="auto"/>
              <w:ind w:firstLine="420" w:firstLineChars="200"/>
              <w:rPr>
                <w:rFonts w:hint="eastAsia" w:ascii="宋体" w:hAnsi="宋体"/>
                <w:bCs/>
                <w:iCs/>
                <w:color w:val="000000" w:themeColor="text1"/>
                <w:szCs w:val="21"/>
                <w:lang w:val="en-US" w:eastAsia="zh-CN"/>
                <w14:textFill>
                  <w14:solidFill>
                    <w14:schemeClr w14:val="tx1"/>
                  </w14:solidFill>
                </w14:textFill>
              </w:rPr>
            </w:pPr>
            <w:r>
              <w:rPr>
                <w:rFonts w:hint="eastAsia" w:ascii="宋体" w:hAnsi="宋体"/>
                <w:bCs/>
                <w:iCs/>
                <w:color w:val="000000" w:themeColor="text1"/>
                <w:szCs w:val="21"/>
                <w:lang w:val="en-US" w:eastAsia="zh-CN"/>
                <w14:textFill>
                  <w14:solidFill>
                    <w14:schemeClr w14:val="tx1"/>
                  </w14:solidFill>
                </w14:textFill>
              </w:rPr>
              <w:t>以下就投资者提出的问题及公司回复情况作一说明。</w:t>
            </w:r>
          </w:p>
          <w:p w14:paraId="3BBBF6D1">
            <w:pPr>
              <w:keepNext w:val="0"/>
              <w:keepLines w:val="0"/>
              <w:pageBreakBefore w:val="0"/>
              <w:widowControl w:val="0"/>
              <w:numPr>
                <w:ilvl w:val="0"/>
                <w:numId w:val="1"/>
              </w:numPr>
              <w:kinsoku/>
              <w:wordWrap/>
              <w:overflowPunct/>
              <w:topLinePunct w:val="0"/>
              <w:autoSpaceDE/>
              <w:autoSpaceDN/>
              <w:bidi w:val="0"/>
              <w:adjustRightInd/>
              <w:snapToGrid/>
              <w:spacing w:before="156" w:beforeLines="50" w:line="360" w:lineRule="auto"/>
              <w:ind w:left="0" w:leftChars="0" w:firstLine="420" w:firstLineChars="0"/>
              <w:textAlignment w:val="auto"/>
              <w:rPr>
                <w:rFonts w:hint="default"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 xml:space="preserve">问：新能源板块今年上半年实现快速增长，主要驱动因素有哪些？ </w:t>
            </w:r>
          </w:p>
          <w:p w14:paraId="3FD8EC48">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eastAsia"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答：</w:t>
            </w:r>
            <w:r>
              <w:rPr>
                <w:rFonts w:hint="eastAsia" w:ascii="宋体" w:hAnsi="宋体"/>
                <w:bCs/>
                <w:iCs/>
                <w:color w:val="000000" w:themeColor="text1"/>
                <w:szCs w:val="21"/>
                <w:lang w:val="en-US" w:eastAsia="zh-CN"/>
                <w14:textFill>
                  <w14:solidFill>
                    <w14:schemeClr w14:val="tx1"/>
                  </w14:solidFill>
                </w14:textFill>
              </w:rPr>
              <w:t>尊敬的投资者您好：这主要得益于风电涂料业务的持续精进，以及多极增长引擎的打造。就风电业务而言，公司风电涂料业务市场份额继续提升，为国内陆上风电主要增量的三北沙戈荒地区的风电项目提供有效解决方案；海上风电塔筒涂料开拓也有所进展，继去年顺利通过北京鉴衡（CGC）权威认证后，跨过了进入市场的重要门槛，目前已进入国内某风电整机厂商的合格供应商名录，并将继续推进客户认证及销售；风电涂料也持续向海外市场拓展，除巴西外，报告期内，公司新增出货至摩洛哥，并将有望继续新增其他海外出货地区，公司对欧洲、美洲的海外主机厂客户认证工作也在持续推进中。</w:t>
            </w:r>
          </w:p>
          <w:p w14:paraId="3A15BD91">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default" w:ascii="宋体" w:hAnsi="宋体"/>
                <w:bCs/>
                <w:iCs/>
                <w:color w:val="000000" w:themeColor="text1"/>
                <w:szCs w:val="21"/>
                <w:lang w:val="en-US" w:eastAsia="zh-CN"/>
                <w14:textFill>
                  <w14:solidFill>
                    <w14:schemeClr w14:val="tx1"/>
                  </w14:solidFill>
                </w14:textFill>
              </w:rPr>
            </w:pPr>
            <w:r>
              <w:rPr>
                <w:rFonts w:hint="eastAsia" w:ascii="宋体" w:hAnsi="宋体"/>
                <w:bCs/>
                <w:iCs/>
                <w:color w:val="000000" w:themeColor="text1"/>
                <w:szCs w:val="21"/>
                <w:lang w:val="en-US" w:eastAsia="zh-CN"/>
                <w14:textFill>
                  <w14:solidFill>
                    <w14:schemeClr w14:val="tx1"/>
                  </w14:solidFill>
                </w14:textFill>
              </w:rPr>
              <w:t>光伏涂料和储能涂料的推进也有显著进展，光伏玻璃减反涂层在国内及国外市场持续拓展，特别是在政府鼓励推动光伏行业的印度市场，公司近期已开始批量供货。在光伏复合材料边框涂料方面，公司已与主要厂家如江苏沃莱及德毅隆等建立合作关系，共同拓展光伏复合材料边框市场。在储能涂料方面，公司继续增加供货客户名单，报告期内，公司已通过某上市公司所属储能厂的测试并开始供货。感谢您的提问，谢谢！</w:t>
            </w:r>
          </w:p>
          <w:p w14:paraId="7AFB01D7">
            <w:pPr>
              <w:keepNext w:val="0"/>
              <w:keepLines w:val="0"/>
              <w:pageBreakBefore w:val="0"/>
              <w:widowControl w:val="0"/>
              <w:numPr>
                <w:ilvl w:val="0"/>
                <w:numId w:val="1"/>
              </w:numPr>
              <w:kinsoku/>
              <w:wordWrap/>
              <w:overflowPunct/>
              <w:topLinePunct w:val="0"/>
              <w:autoSpaceDE/>
              <w:autoSpaceDN/>
              <w:bidi w:val="0"/>
              <w:adjustRightInd/>
              <w:snapToGrid/>
              <w:spacing w:before="156" w:beforeLines="50" w:line="360" w:lineRule="auto"/>
              <w:ind w:left="0" w:leftChars="0" w:firstLine="420" w:firstLineChars="0"/>
              <w:textAlignment w:val="auto"/>
              <w:rPr>
                <w:rFonts w:hint="default" w:ascii="宋体" w:hAnsi="宋体"/>
                <w:bCs/>
                <w:iCs/>
                <w:color w:val="000000" w:themeColor="text1"/>
                <w:szCs w:val="21"/>
                <w:lang w:val="en-US" w:eastAsia="zh-CN"/>
                <w14:textFill>
                  <w14:solidFill>
                    <w14:schemeClr w14:val="tx1"/>
                  </w14:solidFill>
                </w14:textFill>
              </w:rPr>
            </w:pPr>
            <w:r>
              <w:rPr>
                <w:rFonts w:hint="eastAsia" w:ascii="宋体" w:hAnsi="宋体"/>
                <w:bCs/>
                <w:iCs/>
                <w:color w:val="000000" w:themeColor="text1"/>
                <w:szCs w:val="21"/>
                <w:lang w:val="en-US" w:eastAsia="zh-CN"/>
                <w14:textFill>
                  <w14:solidFill>
                    <w14:schemeClr w14:val="tx1"/>
                  </w14:solidFill>
                </w14:textFill>
              </w:rPr>
              <w:t>问：请贵司介绍船舶涂料的具体拓展成果以及下半年目标与计划。</w:t>
            </w:r>
          </w:p>
          <w:p w14:paraId="5FCAB35C">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default" w:ascii="宋体" w:hAnsi="宋体"/>
                <w:bCs/>
                <w:iCs/>
                <w:color w:val="000000" w:themeColor="text1"/>
                <w:szCs w:val="21"/>
                <w:lang w:val="en-US" w:eastAsia="zh-CN"/>
                <w14:textFill>
                  <w14:solidFill>
                    <w14:schemeClr w14:val="tx1"/>
                  </w14:solidFill>
                </w14:textFill>
              </w:rPr>
            </w:pPr>
            <w:r>
              <w:rPr>
                <w:rFonts w:hint="eastAsia" w:ascii="宋体" w:hAnsi="宋体"/>
                <w:bCs/>
                <w:iCs/>
                <w:color w:val="000000" w:themeColor="text1"/>
                <w:szCs w:val="21"/>
                <w:lang w:val="en-US" w:eastAsia="zh-CN"/>
                <w14:textFill>
                  <w14:solidFill>
                    <w14:schemeClr w14:val="tx1"/>
                  </w14:solidFill>
                </w14:textFill>
              </w:rPr>
              <w:t>答：尊敬的投资者您好：公司上半年市场拓展工作包含建立境内外营销渠道、丰富应用案例、对终端客户（船舶业主）进行推广、建立品牌知名度，同时也继续提升公司船舶涂装的技术服务能力；公司今年进行了多个包含境内及境外的保养或坞修项目。目前公司的船舶涂料业务仍属初期爬坡阶段。下半年多个坞修项目正在进行中。在坞修项目之外，公司也在持续推进新船项目的涂料研发测试，争取在坞修之外进入新船市场。感谢您的提问。</w:t>
            </w:r>
          </w:p>
          <w:p w14:paraId="70BEE1CE">
            <w:pPr>
              <w:keepNext w:val="0"/>
              <w:keepLines w:val="0"/>
              <w:pageBreakBefore w:val="0"/>
              <w:widowControl w:val="0"/>
              <w:numPr>
                <w:ilvl w:val="0"/>
                <w:numId w:val="1"/>
              </w:numPr>
              <w:kinsoku/>
              <w:wordWrap/>
              <w:overflowPunct/>
              <w:topLinePunct w:val="0"/>
              <w:autoSpaceDE/>
              <w:autoSpaceDN/>
              <w:bidi w:val="0"/>
              <w:adjustRightInd/>
              <w:snapToGrid/>
              <w:spacing w:before="156" w:beforeLines="50" w:line="360" w:lineRule="auto"/>
              <w:ind w:left="0" w:leftChars="0" w:firstLine="420" w:firstLineChars="0"/>
              <w:textAlignment w:val="auto"/>
              <w:rPr>
                <w:rFonts w:hint="default"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问：</w:t>
            </w:r>
            <w:r>
              <w:rPr>
                <w:rFonts w:hint="eastAsia" w:ascii="宋体" w:hAnsi="宋体"/>
                <w:bCs/>
                <w:iCs/>
                <w:color w:val="000000" w:themeColor="text1"/>
                <w:szCs w:val="21"/>
                <w:lang w:val="en-US" w:eastAsia="zh-CN"/>
                <w14:textFill>
                  <w14:solidFill>
                    <w14:schemeClr w14:val="tx1"/>
                  </w14:solidFill>
                </w14:textFill>
              </w:rPr>
              <w:t>能否说明一下贵公司海外拓展工作进展如何? 特别是在风电涂料、船舶涂料方面。</w:t>
            </w:r>
          </w:p>
          <w:p w14:paraId="075549EB">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default"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答：</w:t>
            </w:r>
            <w:r>
              <w:rPr>
                <w:rFonts w:hint="eastAsia" w:ascii="宋体" w:hAnsi="宋体"/>
                <w:bCs/>
                <w:iCs/>
                <w:color w:val="000000" w:themeColor="text1"/>
                <w:szCs w:val="21"/>
                <w:lang w:val="en-US" w:eastAsia="zh-CN"/>
                <w14:textFill>
                  <w14:solidFill>
                    <w14:schemeClr w14:val="tx1"/>
                  </w14:solidFill>
                </w14:textFill>
              </w:rPr>
              <w:t>尊敬的投资者您好：公司海外拓展工作持续进行，全球版图上，公司的客户及供货地点涵盖亚、欧、非、美四大洲，并已在香港及荷兰设有全资子公司，在海外推广公司产品。针对风电叶片涂料在海外市场的拓展工作，可以拆解为三个方面：1. 新增海外风电主机厂客户：公司继续推进与两家国际知名的欧美风电主机厂客户的拓展工作，目前均处在供应商认证阶段；2. 针对现有海外风电主机厂客户，新增其海外出货地点：至今年上半年，公司已对该主机厂在巴西及摩洛哥地区的风电叶片厂供应涂料；3. 针对国内的风电主机厂，向其合作的国内风电叶片厂在海外的生产基地供货。在船舶涂料领域，公司2025年已在东南亚地区取得订单并实现销售，2026年该客户已开始复购，其他客户也在接触之中。公司2026年度的计划还是以增加案例为主，对欧洲市场的开发尚处于蓄力阶段。谢谢您的提问。</w:t>
            </w:r>
          </w:p>
          <w:p w14:paraId="5A50672B">
            <w:pPr>
              <w:keepNext w:val="0"/>
              <w:keepLines w:val="0"/>
              <w:pageBreakBefore w:val="0"/>
              <w:widowControl w:val="0"/>
              <w:numPr>
                <w:ilvl w:val="0"/>
                <w:numId w:val="1"/>
              </w:numPr>
              <w:kinsoku/>
              <w:wordWrap/>
              <w:overflowPunct/>
              <w:topLinePunct w:val="0"/>
              <w:autoSpaceDE/>
              <w:autoSpaceDN/>
              <w:bidi w:val="0"/>
              <w:adjustRightInd/>
              <w:snapToGrid/>
              <w:spacing w:before="156" w:beforeLines="50" w:line="360" w:lineRule="auto"/>
              <w:ind w:left="0" w:leftChars="0" w:firstLine="420" w:firstLineChars="0"/>
              <w:textAlignment w:val="auto"/>
              <w:rPr>
                <w:rFonts w:hint="default"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问</w:t>
            </w:r>
            <w:r>
              <w:rPr>
                <w:rFonts w:hint="eastAsia" w:ascii="宋体" w:hAnsi="宋体"/>
                <w:bCs/>
                <w:iCs/>
                <w:color w:val="000000" w:themeColor="text1"/>
                <w:szCs w:val="21"/>
                <w:lang w:val="en-US" w:eastAsia="zh-CN"/>
                <w14:textFill>
                  <w14:solidFill>
                    <w14:schemeClr w14:val="tx1"/>
                  </w14:solidFill>
                </w14:textFill>
              </w:rPr>
              <w:t>：</w:t>
            </w:r>
            <w:r>
              <w:rPr>
                <w:rFonts w:hint="default" w:ascii="宋体" w:hAnsi="宋体"/>
                <w:bCs/>
                <w:iCs/>
                <w:color w:val="000000" w:themeColor="text1"/>
                <w:szCs w:val="21"/>
                <w:lang w:val="en-US" w:eastAsia="zh-CN"/>
                <w14:textFill>
                  <w14:solidFill>
                    <w14:schemeClr w14:val="tx1"/>
                  </w14:solidFill>
                </w14:textFill>
              </w:rPr>
              <w:t>目前集装箱涂料的需求和价格是否已出现企稳回升迹象？</w:t>
            </w:r>
          </w:p>
          <w:p w14:paraId="65BCF796">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default"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答：</w:t>
            </w:r>
            <w:r>
              <w:rPr>
                <w:rFonts w:hint="eastAsia" w:ascii="宋体" w:hAnsi="宋体"/>
                <w:bCs/>
                <w:iCs/>
                <w:color w:val="000000" w:themeColor="text1"/>
                <w:szCs w:val="21"/>
                <w:lang w:val="en-US" w:eastAsia="zh-CN"/>
                <w14:textFill>
                  <w14:solidFill>
                    <w14:schemeClr w14:val="tx1"/>
                  </w14:solidFill>
                </w14:textFill>
              </w:rPr>
              <w:t>尊敬的投资者您好：公司2026年上半年集装箱涂料的销量及销售收入同比下降，但从季度表现来看，一季度、二季度环比呈现增长态势。针对您的关注，从行业需求角度来看，集装箱总体需求趋于正常，但是集装箱涂料行业竞争格局尚需改善。站在公司角度，一方面需要为构筑行业的良好生态助力，同时也在进一步强化技术储备、提升内部管理、增加客户粘性、稳固市场份额。同时加大其他工业涂料开拓力度，降低集装箱业务的周期性影响。谢谢您的提问。</w:t>
            </w:r>
          </w:p>
          <w:p w14:paraId="3609D884">
            <w:pPr>
              <w:keepNext w:val="0"/>
              <w:keepLines w:val="0"/>
              <w:pageBreakBefore w:val="0"/>
              <w:widowControl w:val="0"/>
              <w:numPr>
                <w:ilvl w:val="0"/>
                <w:numId w:val="1"/>
              </w:numPr>
              <w:kinsoku/>
              <w:wordWrap/>
              <w:overflowPunct/>
              <w:topLinePunct w:val="0"/>
              <w:autoSpaceDE/>
              <w:autoSpaceDN/>
              <w:bidi w:val="0"/>
              <w:adjustRightInd/>
              <w:snapToGrid/>
              <w:spacing w:before="156" w:beforeLines="50" w:line="360" w:lineRule="auto"/>
              <w:ind w:left="0" w:leftChars="0" w:firstLine="420" w:firstLineChars="0"/>
              <w:textAlignment w:val="auto"/>
              <w:rPr>
                <w:rFonts w:hint="default"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 xml:space="preserve">问：公司如何继续维持新能源板块业绩的高增长？ </w:t>
            </w:r>
          </w:p>
          <w:p w14:paraId="53C43BC1">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default"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答：</w:t>
            </w:r>
            <w:r>
              <w:rPr>
                <w:rFonts w:hint="eastAsia" w:ascii="宋体" w:hAnsi="宋体"/>
                <w:bCs/>
                <w:iCs/>
                <w:color w:val="000000" w:themeColor="text1"/>
                <w:szCs w:val="21"/>
                <w:lang w:val="en-US" w:eastAsia="zh-CN"/>
                <w14:textFill>
                  <w14:solidFill>
                    <w14:schemeClr w14:val="tx1"/>
                  </w14:solidFill>
                </w14:textFill>
              </w:rPr>
              <w:t>尊敬的投资者您好，公司的新能源板块目前阶段主要的构成是风电叶片涂料，公司在风电叶片涂料领域深耕多年，对于风电叶片涂料在国内面临的多种特殊环境，以及近年来在风电叶片领域持续不断创新、更迭的材料技术，公司实战经验丰富，也因此积累较高的应用知识、技术能力及创新能力，这种能力不仅适用于国内、也适用于海外地区。对于国内风电未来主要增量的沙戈荒地区项目，公司具备有效解决方案满足客户需求；我们不仅巩固国内市场份额，且将继续透过海上风电塔筒涂料，增加我们在风电涂料的收入及市场份额，目前我们也已经进入了国内某风电主机厂的海上塔筒合格供应商名单，说明公司进军此一领域的能力及资质，期望未来能在海上风电涂料市场继续拓展。此外，公司对于风电海外市场近年来积极开拓，也有一定成果，公司信奉长期主义，将继续拓展海外市场。除了风电涂料，光伏涂料业务，我们也持续进行拓展工作，特别针对目前正在推展光伏行业的印度市场，公司已打入该市场，在今年上半年有批量出货。另外还有储能涂料，公司上半年也有进展，对国内某上市公司的储能厂开始供货。谢谢您的提问。</w:t>
            </w:r>
          </w:p>
          <w:p w14:paraId="1E6E801C">
            <w:pPr>
              <w:keepNext w:val="0"/>
              <w:keepLines w:val="0"/>
              <w:pageBreakBefore w:val="0"/>
              <w:widowControl w:val="0"/>
              <w:numPr>
                <w:ilvl w:val="0"/>
                <w:numId w:val="1"/>
              </w:numPr>
              <w:kinsoku/>
              <w:wordWrap/>
              <w:overflowPunct/>
              <w:topLinePunct w:val="0"/>
              <w:autoSpaceDE/>
              <w:autoSpaceDN/>
              <w:bidi w:val="0"/>
              <w:adjustRightInd/>
              <w:snapToGrid/>
              <w:spacing w:before="156" w:beforeLines="50" w:line="360" w:lineRule="auto"/>
              <w:ind w:left="0" w:leftChars="0" w:firstLine="420" w:firstLineChars="0"/>
              <w:textAlignment w:val="auto"/>
              <w:rPr>
                <w:rFonts w:hint="default"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 xml:space="preserve">问：针对下游波动及竞争加剧等风险，公司有哪些应对策略及未来展望？ </w:t>
            </w:r>
          </w:p>
          <w:p w14:paraId="09F8C9DA">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default"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答：</w:t>
            </w:r>
            <w:r>
              <w:rPr>
                <w:rFonts w:hint="eastAsia" w:ascii="宋体" w:hAnsi="宋体"/>
                <w:bCs/>
                <w:iCs/>
                <w:color w:val="000000" w:themeColor="text1"/>
                <w:szCs w:val="21"/>
                <w:lang w:val="en-US" w:eastAsia="zh-CN"/>
                <w14:textFill>
                  <w14:solidFill>
                    <w14:schemeClr w14:val="tx1"/>
                  </w14:solidFill>
                </w14:textFill>
              </w:rPr>
              <w:t>尊敬的投资者您好：报告期内，公司收入主要来自于风电叶片、集装箱涂料业务。由于涂料无法作为单独的产品终端使用，因此涂料行业下游应用领域的景气程度将会影响涂料行业的市场空间与细分市场结构。公司风电涂料目前主要应用于风电叶片涂装，并已成功开拓风电塔筒涂料业务，并积极向境外市场拓展。风能凭借其资源总量丰富、环保、度电成本持续降低等突出的优势，目前已成为开发和应用最为广泛的可再生能源之一，正逐渐从补充性能源向替代性能源持续转变，是实现“碳达峰”、 “碳中和”目标的主要实现路径之一。尽管风电行业长期发展趋势良好，但仍存在短期波动，因此若未来风电发展速度不及预期或相关风电支持政策出现不利变化甚至暂停，都会导致风电涂料行业景气度下降，对公司业务带来不利影响。 集装箱涂料的市场规模主要取决于下游集装箱新造量及存量集装箱的维护更新需求，而以上需求与全球海运市场景气情况息息相关，同时全球经济的增长和衰退、国际贸易的繁荣与萎缩及全球重点航运路线的地缘局势变动、公共卫生安全因素扰动等偶发因素也可能带来集装箱涂料行业的市场波动，从而影响公司相关收入。 针对上述情形，公司在继续扩大原有业务的市场份额之外，同时积极开发进入新的应用领域及新市场，例如，公司目前形成了三个领域、十个业务的产品矩阵，不仅透过丰富公司的应用领域分散风险，更是积极打造第N个业务增长点。未来，公司将依托三大生产基地及境内外服务网络，持续深化”三老+三新+四小”业务格局，提升抗风险能力与核心竞争力。感谢您的提问。</w:t>
            </w:r>
          </w:p>
          <w:p w14:paraId="521CB79B">
            <w:pPr>
              <w:keepNext w:val="0"/>
              <w:keepLines w:val="0"/>
              <w:pageBreakBefore w:val="0"/>
              <w:widowControl w:val="0"/>
              <w:numPr>
                <w:ilvl w:val="0"/>
                <w:numId w:val="1"/>
              </w:numPr>
              <w:kinsoku/>
              <w:wordWrap/>
              <w:overflowPunct/>
              <w:topLinePunct w:val="0"/>
              <w:autoSpaceDE/>
              <w:autoSpaceDN/>
              <w:bidi w:val="0"/>
              <w:adjustRightInd/>
              <w:snapToGrid/>
              <w:spacing w:before="156" w:beforeLines="50" w:line="360" w:lineRule="auto"/>
              <w:ind w:left="0" w:leftChars="0" w:firstLine="420" w:firstLineChars="0"/>
              <w:textAlignment w:val="auto"/>
              <w:rPr>
                <w:rFonts w:hint="default"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 xml:space="preserve">问：请问嘉定总部和研发中心项目变更的具体原因是什么？ </w:t>
            </w:r>
          </w:p>
          <w:p w14:paraId="00974BAD">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eastAsia"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答：</w:t>
            </w:r>
            <w:r>
              <w:rPr>
                <w:rFonts w:hint="eastAsia" w:ascii="宋体" w:hAnsi="宋体"/>
                <w:bCs/>
                <w:iCs/>
                <w:color w:val="000000" w:themeColor="text1"/>
                <w:szCs w:val="21"/>
                <w:lang w:val="en-US" w:eastAsia="zh-CN"/>
                <w14:textFill>
                  <w14:solidFill>
                    <w14:schemeClr w14:val="tx1"/>
                  </w14:solidFill>
                </w14:textFill>
              </w:rPr>
              <w:t xml:space="preserve">尊敬的投资者您好，经公司董事会及股东会审议，公司计划对“麦加芯彩嘉定总部和研发中心项目”建设地点由公司原有地块变更为上海市嘉定区嘉定新城核心区F11-07地块。其核心原因在于： </w:t>
            </w:r>
          </w:p>
          <w:p w14:paraId="76D84495">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eastAsia" w:ascii="宋体" w:hAnsi="宋体"/>
                <w:bCs/>
                <w:iCs/>
                <w:color w:val="000000" w:themeColor="text1"/>
                <w:szCs w:val="21"/>
                <w:lang w:val="en-US" w:eastAsia="zh-CN"/>
                <w14:textFill>
                  <w14:solidFill>
                    <w14:schemeClr w14:val="tx1"/>
                  </w14:solidFill>
                </w14:textFill>
              </w:rPr>
            </w:pPr>
            <w:r>
              <w:rPr>
                <w:rFonts w:hint="eastAsia" w:ascii="宋体" w:hAnsi="宋体"/>
                <w:bCs/>
                <w:iCs/>
                <w:color w:val="000000" w:themeColor="text1"/>
                <w:szCs w:val="21"/>
                <w:lang w:val="en-US" w:eastAsia="zh-CN"/>
                <w14:textFill>
                  <w14:solidFill>
                    <w14:schemeClr w14:val="tx1"/>
                  </w14:solidFill>
                </w14:textFill>
              </w:rPr>
              <w:t>公司上市以来，随着业务领域逐步扩展，船舶涂料、海工涂料、光伏涂料/涂层、电力设施等业务均取得进展，虽然上述新业务目前体量有限，但从未来发展角度，需要为新业务领域保留一定产能；另一方面，目前公司油性涂料及水性涂料产能充足，但粉末涂料作为一种重要的涂料品类，以及集装箱涂料的可选品种之一，公司计划在本部目前地块增加粉末涂料相关产能。</w:t>
            </w:r>
          </w:p>
          <w:p w14:paraId="5B1AC384">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default" w:ascii="宋体" w:hAnsi="宋体"/>
                <w:bCs/>
                <w:iCs/>
                <w:color w:val="000000" w:themeColor="text1"/>
                <w:szCs w:val="21"/>
                <w:lang w:val="en-US" w:eastAsia="zh-CN"/>
                <w14:textFill>
                  <w14:solidFill>
                    <w14:schemeClr w14:val="tx1"/>
                  </w14:solidFill>
                </w14:textFill>
              </w:rPr>
            </w:pPr>
            <w:r>
              <w:rPr>
                <w:rFonts w:hint="eastAsia" w:ascii="宋体" w:hAnsi="宋体"/>
                <w:bCs/>
                <w:iCs/>
                <w:color w:val="000000" w:themeColor="text1"/>
                <w:szCs w:val="21"/>
                <w:lang w:val="en-US" w:eastAsia="zh-CN"/>
                <w14:textFill>
                  <w14:solidFill>
                    <w14:schemeClr w14:val="tx1"/>
                  </w14:solidFill>
                </w14:textFill>
              </w:rPr>
              <w:t>鉴于上述，公司拟保留上海本部生产基地以增加粉末涂料产能，并购置新地块以实施“麦加芯彩嘉定总部和研发中心项目”。感谢您的提问。</w:t>
            </w:r>
          </w:p>
          <w:p w14:paraId="4F63C278">
            <w:pPr>
              <w:keepNext w:val="0"/>
              <w:keepLines w:val="0"/>
              <w:pageBreakBefore w:val="0"/>
              <w:widowControl w:val="0"/>
              <w:numPr>
                <w:ilvl w:val="0"/>
                <w:numId w:val="1"/>
              </w:numPr>
              <w:kinsoku/>
              <w:wordWrap/>
              <w:overflowPunct/>
              <w:topLinePunct w:val="0"/>
              <w:autoSpaceDE/>
              <w:autoSpaceDN/>
              <w:bidi w:val="0"/>
              <w:adjustRightInd/>
              <w:snapToGrid/>
              <w:spacing w:before="156" w:beforeLines="50" w:line="360" w:lineRule="auto"/>
              <w:ind w:left="0" w:leftChars="0" w:firstLine="420" w:firstLineChars="0"/>
              <w:textAlignment w:val="auto"/>
              <w:rPr>
                <w:rFonts w:hint="default" w:ascii="宋体" w:hAnsi="宋体"/>
                <w:bCs/>
                <w:iCs/>
                <w:color w:val="000000" w:themeColor="text1"/>
                <w:szCs w:val="21"/>
                <w:lang w:val="en-US" w:eastAsia="zh-CN"/>
                <w14:textFill>
                  <w14:solidFill>
                    <w14:schemeClr w14:val="tx1"/>
                  </w14:solidFill>
                </w14:textFill>
              </w:rPr>
            </w:pPr>
            <w:r>
              <w:rPr>
                <w:rFonts w:hint="eastAsia" w:ascii="宋体" w:hAnsi="宋体"/>
                <w:bCs/>
                <w:iCs/>
                <w:color w:val="000000" w:themeColor="text1"/>
                <w:szCs w:val="21"/>
                <w:lang w:val="en-US" w:eastAsia="zh-CN"/>
                <w14:textFill>
                  <w14:solidFill>
                    <w14:schemeClr w14:val="tx1"/>
                  </w14:solidFill>
                </w14:textFill>
              </w:rPr>
              <w:t>问：</w:t>
            </w:r>
            <w:r>
              <w:rPr>
                <w:rFonts w:hint="default" w:ascii="宋体" w:hAnsi="宋体"/>
                <w:bCs/>
                <w:iCs/>
                <w:color w:val="000000" w:themeColor="text1"/>
                <w:szCs w:val="21"/>
                <w:lang w:val="en-US" w:eastAsia="zh-CN"/>
                <w14:textFill>
                  <w14:solidFill>
                    <w14:schemeClr w14:val="tx1"/>
                  </w14:solidFill>
                </w14:textFill>
              </w:rPr>
              <w:t>公司大方给予半年度分红，占了净利润的90%，在现阶段，这么高比例的现金分红是否对公司的发展造成不利？ 毕竟公司目前在许多新领域在进行市场拓展工作。</w:t>
            </w:r>
          </w:p>
          <w:p w14:paraId="17A3E331">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eastAsia" w:ascii="宋体" w:hAnsi="宋体"/>
                <w:bCs/>
                <w:iCs/>
                <w:color w:val="000000" w:themeColor="text1"/>
                <w:szCs w:val="21"/>
                <w:lang w:val="en-US" w:eastAsia="zh-CN"/>
                <w14:textFill>
                  <w14:solidFill>
                    <w14:schemeClr w14:val="tx1"/>
                  </w14:solidFill>
                </w14:textFill>
              </w:rPr>
            </w:pPr>
            <w:r>
              <w:rPr>
                <w:rFonts w:hint="default" w:ascii="宋体" w:hAnsi="宋体"/>
                <w:bCs/>
                <w:iCs/>
                <w:color w:val="000000" w:themeColor="text1"/>
                <w:szCs w:val="21"/>
                <w:lang w:val="en-US" w:eastAsia="zh-CN"/>
                <w14:textFill>
                  <w14:solidFill>
                    <w14:schemeClr w14:val="tx1"/>
                  </w14:solidFill>
                </w14:textFill>
              </w:rPr>
              <w:t>答：</w:t>
            </w:r>
            <w:r>
              <w:rPr>
                <w:rFonts w:hint="eastAsia" w:ascii="宋体" w:hAnsi="宋体"/>
                <w:bCs/>
                <w:iCs/>
                <w:color w:val="000000" w:themeColor="text1"/>
                <w:szCs w:val="21"/>
                <w:lang w:val="en-US" w:eastAsia="zh-CN"/>
                <w14:textFill>
                  <w14:solidFill>
                    <w14:schemeClr w14:val="tx1"/>
                  </w14:solidFill>
                </w14:textFill>
              </w:rPr>
              <w:t>尊敬的投资者您好，公司的现金分红方案已经过董事会审慎评估，兼顾股东现金回报与企业可持续发展：一方面，公司重视股东回报，特别对于坚守长期主义、相信公司未来发展的股东，我们积极给于回馈；另一方面，在拟定每一期的分红方案时，管理层均已审慎考虑所需营运资金、研发投入、市场拓展投入以及未来发展所需资金，不会因为分红影响正常经营能力。 就本次的半年报数据来看，母公司累计未分配利润近2.82亿元，本次半年度现金分红总数为3,415.23万元（含税），仅占母公司累计未分配利润的12.13%，公司本次分红不会影响公司未来发展。公司将持续努力、创造更大的回报给各位股东。谢谢您的关注。</w:t>
            </w:r>
          </w:p>
          <w:p w14:paraId="1226780B">
            <w:pPr>
              <w:keepNext w:val="0"/>
              <w:keepLines w:val="0"/>
              <w:pageBreakBefore w:val="0"/>
              <w:widowControl w:val="0"/>
              <w:numPr>
                <w:ilvl w:val="0"/>
                <w:numId w:val="1"/>
              </w:numPr>
              <w:kinsoku/>
              <w:wordWrap/>
              <w:overflowPunct/>
              <w:topLinePunct w:val="0"/>
              <w:autoSpaceDE/>
              <w:autoSpaceDN/>
              <w:bidi w:val="0"/>
              <w:adjustRightInd/>
              <w:snapToGrid/>
              <w:spacing w:before="156" w:beforeLines="50" w:line="360" w:lineRule="auto"/>
              <w:ind w:left="0" w:leftChars="0" w:firstLine="420" w:firstLineChars="0"/>
              <w:textAlignment w:val="auto"/>
              <w:rPr>
                <w:rFonts w:hint="default" w:ascii="宋体" w:hAnsi="宋体"/>
                <w:bCs/>
                <w:iCs/>
                <w:color w:val="000000" w:themeColor="text1"/>
                <w:szCs w:val="21"/>
                <w:lang w:val="en-US" w:eastAsia="zh-CN"/>
                <w14:textFill>
                  <w14:solidFill>
                    <w14:schemeClr w14:val="tx1"/>
                  </w14:solidFill>
                </w14:textFill>
              </w:rPr>
            </w:pPr>
            <w:r>
              <w:rPr>
                <w:rFonts w:hint="eastAsia" w:ascii="宋体" w:hAnsi="宋体"/>
                <w:bCs/>
                <w:iCs/>
                <w:color w:val="000000" w:themeColor="text1"/>
                <w:szCs w:val="21"/>
                <w:lang w:val="en-US" w:eastAsia="zh-CN"/>
                <w14:textFill>
                  <w14:solidFill>
                    <w14:schemeClr w14:val="tx1"/>
                  </w14:solidFill>
                </w14:textFill>
              </w:rPr>
              <w:t>问：公司未来在导电型、半绝缘型产品之间的资源投入如何分配？</w:t>
            </w:r>
          </w:p>
          <w:p w14:paraId="30AB528D">
            <w:pPr>
              <w:keepNext w:val="0"/>
              <w:keepLines w:val="0"/>
              <w:pageBreakBefore w:val="0"/>
              <w:widowControl w:val="0"/>
              <w:kinsoku/>
              <w:wordWrap/>
              <w:overflowPunct/>
              <w:topLinePunct w:val="0"/>
              <w:autoSpaceDE/>
              <w:autoSpaceDN/>
              <w:bidi w:val="0"/>
              <w:adjustRightInd/>
              <w:snapToGrid/>
              <w:spacing w:before="63" w:beforeLines="20" w:line="360" w:lineRule="auto"/>
              <w:ind w:firstLine="420" w:firstLineChars="200"/>
              <w:textAlignment w:val="auto"/>
              <w:rPr>
                <w:rFonts w:hint="default" w:ascii="宋体" w:hAnsi="宋体"/>
                <w:bCs/>
                <w:iCs/>
                <w:color w:val="000000" w:themeColor="text1"/>
                <w:szCs w:val="21"/>
                <w:lang w:val="en-US" w:eastAsia="zh-CN"/>
                <w14:textFill>
                  <w14:solidFill>
                    <w14:schemeClr w14:val="tx1"/>
                  </w14:solidFill>
                </w14:textFill>
              </w:rPr>
            </w:pPr>
            <w:r>
              <w:rPr>
                <w:rFonts w:hint="eastAsia" w:ascii="宋体" w:hAnsi="宋体"/>
                <w:bCs/>
                <w:iCs/>
                <w:color w:val="000000" w:themeColor="text1"/>
                <w:szCs w:val="21"/>
                <w:lang w:val="en-US" w:eastAsia="zh-CN"/>
                <w14:textFill>
                  <w14:solidFill>
                    <w14:schemeClr w14:val="tx1"/>
                  </w14:solidFill>
                </w14:textFill>
              </w:rPr>
              <w:t>答：尊敬的投资者您好：公司在信息披露中未提及上述分类表述。就公司而言，目前在电力设备领域，产品打磨及客户现场测试均取得一定进展，针对您说的细分领域，公司将进一步研究。谢谢您对公司业务的关心。</w:t>
            </w:r>
          </w:p>
        </w:tc>
      </w:tr>
      <w:bookmarkEnd w:id="0"/>
      <w:tr w14:paraId="4175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581" w:type="dxa"/>
            <w:shd w:val="clear" w:color="auto" w:fill="auto"/>
            <w:vAlign w:val="center"/>
          </w:tcPr>
          <w:p w14:paraId="219512D0">
            <w:pPr>
              <w:rPr>
                <w:rFonts w:ascii="宋体" w:hAnsi="宋体"/>
                <w:b/>
                <w:bCs/>
                <w:iCs/>
                <w:color w:val="000000" w:themeColor="text1"/>
                <w:szCs w:val="21"/>
                <w14:textFill>
                  <w14:solidFill>
                    <w14:schemeClr w14:val="tx1"/>
                  </w14:solidFill>
                </w14:textFill>
              </w:rPr>
            </w:pPr>
            <w:r>
              <w:rPr>
                <w:rFonts w:hint="eastAsia" w:ascii="宋体" w:hAnsi="宋体"/>
                <w:b/>
                <w:bCs/>
                <w:iCs/>
                <w:color w:val="000000" w:themeColor="text1"/>
                <w:szCs w:val="21"/>
                <w14:textFill>
                  <w14:solidFill>
                    <w14:schemeClr w14:val="tx1"/>
                  </w14:solidFill>
                </w14:textFill>
              </w:rPr>
              <w:t>附件清单</w:t>
            </w:r>
          </w:p>
        </w:tc>
        <w:tc>
          <w:tcPr>
            <w:tcW w:w="7146" w:type="dxa"/>
            <w:shd w:val="clear" w:color="auto" w:fill="auto"/>
          </w:tcPr>
          <w:p w14:paraId="768EED7A">
            <w:pPr>
              <w:spacing w:line="480" w:lineRule="atLeast"/>
              <w:rPr>
                <w:rFonts w:ascii="宋体" w:hAnsi="宋体"/>
                <w:bCs/>
                <w:iCs/>
                <w:color w:val="000000" w:themeColor="text1"/>
                <w:szCs w:val="21"/>
                <w14:textFill>
                  <w14:solidFill>
                    <w14:schemeClr w14:val="tx1"/>
                  </w14:solidFill>
                </w14:textFill>
              </w:rPr>
            </w:pPr>
            <w:r>
              <w:rPr>
                <w:rFonts w:hint="eastAsia" w:ascii="宋体" w:hAnsi="宋体"/>
                <w:bCs/>
                <w:iCs/>
                <w:color w:val="000000" w:themeColor="text1"/>
                <w:szCs w:val="21"/>
                <w14:textFill>
                  <w14:solidFill>
                    <w14:schemeClr w14:val="tx1"/>
                  </w14:solidFill>
                </w14:textFill>
              </w:rPr>
              <w:t>无</w:t>
            </w:r>
          </w:p>
        </w:tc>
      </w:tr>
      <w:tr w14:paraId="190FD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581" w:type="dxa"/>
            <w:shd w:val="clear" w:color="auto" w:fill="auto"/>
            <w:vAlign w:val="center"/>
          </w:tcPr>
          <w:p w14:paraId="20A09198">
            <w:pPr>
              <w:rPr>
                <w:rFonts w:ascii="宋体" w:hAnsi="宋体"/>
                <w:b/>
                <w:bCs/>
                <w:iCs/>
                <w:color w:val="000000" w:themeColor="text1"/>
                <w:szCs w:val="21"/>
                <w14:textFill>
                  <w14:solidFill>
                    <w14:schemeClr w14:val="tx1"/>
                  </w14:solidFill>
                </w14:textFill>
              </w:rPr>
            </w:pPr>
            <w:r>
              <w:rPr>
                <w:rFonts w:hint="eastAsia" w:ascii="宋体" w:hAnsi="宋体"/>
                <w:b/>
                <w:bCs/>
                <w:iCs/>
                <w:color w:val="000000" w:themeColor="text1"/>
                <w:szCs w:val="21"/>
                <w14:textFill>
                  <w14:solidFill>
                    <w14:schemeClr w14:val="tx1"/>
                  </w14:solidFill>
                </w14:textFill>
              </w:rPr>
              <w:t>公告日期</w:t>
            </w:r>
          </w:p>
        </w:tc>
        <w:tc>
          <w:tcPr>
            <w:tcW w:w="7146" w:type="dxa"/>
            <w:shd w:val="clear" w:color="auto" w:fill="auto"/>
          </w:tcPr>
          <w:p w14:paraId="3D29FF7D">
            <w:pPr>
              <w:spacing w:line="480" w:lineRule="atLeast"/>
              <w:rPr>
                <w:rFonts w:ascii="宋体" w:hAnsi="宋体"/>
                <w:bCs/>
                <w:iCs/>
                <w:color w:val="000000" w:themeColor="text1"/>
                <w:szCs w:val="21"/>
                <w14:textFill>
                  <w14:solidFill>
                    <w14:schemeClr w14:val="tx1"/>
                  </w14:solidFill>
                </w14:textFill>
              </w:rPr>
            </w:pPr>
            <w:r>
              <w:rPr>
                <w:rFonts w:hint="eastAsia" w:ascii="宋体" w:hAnsi="宋体"/>
                <w:bCs/>
                <w:iCs/>
                <w:color w:val="000000" w:themeColor="text1"/>
                <w:szCs w:val="21"/>
                <w14:textFill>
                  <w14:solidFill>
                    <w14:schemeClr w14:val="tx1"/>
                  </w14:solidFill>
                </w14:textFill>
              </w:rPr>
              <w:t>2</w:t>
            </w:r>
            <w:r>
              <w:rPr>
                <w:rFonts w:ascii="宋体" w:hAnsi="宋体"/>
                <w:bCs/>
                <w:iCs/>
                <w:color w:val="000000" w:themeColor="text1"/>
                <w:szCs w:val="21"/>
                <w14:textFill>
                  <w14:solidFill>
                    <w14:schemeClr w14:val="tx1"/>
                  </w14:solidFill>
                </w14:textFill>
              </w:rPr>
              <w:t>02</w:t>
            </w:r>
            <w:r>
              <w:rPr>
                <w:rFonts w:hint="eastAsia" w:ascii="宋体" w:hAnsi="宋体"/>
                <w:bCs/>
                <w:iCs/>
                <w:color w:val="000000" w:themeColor="text1"/>
                <w:szCs w:val="21"/>
                <w:lang w:val="en-US" w:eastAsia="zh-CN"/>
                <w14:textFill>
                  <w14:solidFill>
                    <w14:schemeClr w14:val="tx1"/>
                  </w14:solidFill>
                </w14:textFill>
              </w:rPr>
              <w:t>6</w:t>
            </w:r>
            <w:r>
              <w:rPr>
                <w:rFonts w:hint="eastAsia" w:ascii="宋体" w:hAnsi="宋体"/>
                <w:bCs/>
                <w:iCs/>
                <w:color w:val="000000" w:themeColor="text1"/>
                <w:szCs w:val="21"/>
                <w14:textFill>
                  <w14:solidFill>
                    <w14:schemeClr w14:val="tx1"/>
                  </w14:solidFill>
                </w14:textFill>
              </w:rPr>
              <w:t>年</w:t>
            </w:r>
            <w:r>
              <w:rPr>
                <w:rFonts w:hint="eastAsia" w:ascii="宋体" w:hAnsi="宋体"/>
                <w:bCs/>
                <w:iCs/>
                <w:color w:val="000000" w:themeColor="text1"/>
                <w:szCs w:val="21"/>
                <w:lang w:val="en-US" w:eastAsia="zh-CN"/>
                <w14:textFill>
                  <w14:solidFill>
                    <w14:schemeClr w14:val="tx1"/>
                  </w14:solidFill>
                </w14:textFill>
              </w:rPr>
              <w:t>9</w:t>
            </w:r>
            <w:r>
              <w:rPr>
                <w:rFonts w:hint="eastAsia" w:ascii="宋体" w:hAnsi="宋体"/>
                <w:bCs/>
                <w:iCs/>
                <w:color w:val="000000" w:themeColor="text1"/>
                <w:szCs w:val="21"/>
                <w14:textFill>
                  <w14:solidFill>
                    <w14:schemeClr w14:val="tx1"/>
                  </w14:solidFill>
                </w14:textFill>
              </w:rPr>
              <w:t>月</w:t>
            </w:r>
            <w:r>
              <w:rPr>
                <w:rFonts w:hint="eastAsia" w:ascii="宋体" w:hAnsi="宋体"/>
                <w:bCs/>
                <w:iCs/>
                <w:color w:val="000000" w:themeColor="text1"/>
                <w:szCs w:val="21"/>
                <w:lang w:val="en-US" w:eastAsia="zh-CN"/>
                <w14:textFill>
                  <w14:solidFill>
                    <w14:schemeClr w14:val="tx1"/>
                  </w14:solidFill>
                </w14:textFill>
              </w:rPr>
              <w:t>12</w:t>
            </w:r>
            <w:r>
              <w:rPr>
                <w:rFonts w:hint="eastAsia" w:ascii="宋体" w:hAnsi="宋体"/>
                <w:bCs/>
                <w:iCs/>
                <w:color w:val="000000" w:themeColor="text1"/>
                <w:szCs w:val="21"/>
                <w14:textFill>
                  <w14:solidFill>
                    <w14:schemeClr w14:val="tx1"/>
                  </w14:solidFill>
                </w14:textFill>
              </w:rPr>
              <w:t>日</w:t>
            </w:r>
          </w:p>
        </w:tc>
      </w:tr>
    </w:tbl>
    <w:p w14:paraId="26AEAA9F">
      <w:pPr>
        <w:rPr>
          <w:rFonts w:hint="eastAsia"/>
          <w:color w:val="000000" w:themeColor="text1"/>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7FB4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90EF2D">
                          <w:pPr>
                            <w:pStyle w:val="5"/>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790EF2D">
                    <w:pPr>
                      <w:pStyle w:val="5"/>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496DD"/>
    <w:multiLevelType w:val="singleLevel"/>
    <w:tmpl w:val="846496DD"/>
    <w:lvl w:ilvl="0" w:tentative="0">
      <w:start w:val="1"/>
      <w:numFmt w:val="decimal"/>
      <w:suff w:val="nothing"/>
      <w:lvlText w:val="%1．"/>
      <w:lvlJc w:val="left"/>
      <w:pPr>
        <w:ind w:left="21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trackRevisions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6B0E6C"/>
    <w:rsid w:val="00004C04"/>
    <w:rsid w:val="00011527"/>
    <w:rsid w:val="00012FF9"/>
    <w:rsid w:val="00016A7E"/>
    <w:rsid w:val="00026B2F"/>
    <w:rsid w:val="00036B52"/>
    <w:rsid w:val="0004299A"/>
    <w:rsid w:val="000435DD"/>
    <w:rsid w:val="000567C9"/>
    <w:rsid w:val="00072282"/>
    <w:rsid w:val="00076410"/>
    <w:rsid w:val="0008221E"/>
    <w:rsid w:val="00092082"/>
    <w:rsid w:val="000959EE"/>
    <w:rsid w:val="000A34AB"/>
    <w:rsid w:val="000A3E4F"/>
    <w:rsid w:val="000C3E42"/>
    <w:rsid w:val="000D4219"/>
    <w:rsid w:val="000D6F15"/>
    <w:rsid w:val="000E51B1"/>
    <w:rsid w:val="000F22B2"/>
    <w:rsid w:val="001128C8"/>
    <w:rsid w:val="0013434A"/>
    <w:rsid w:val="001405E0"/>
    <w:rsid w:val="00141EEE"/>
    <w:rsid w:val="0015404C"/>
    <w:rsid w:val="0015543C"/>
    <w:rsid w:val="00160A36"/>
    <w:rsid w:val="0017474C"/>
    <w:rsid w:val="001813E3"/>
    <w:rsid w:val="00192F82"/>
    <w:rsid w:val="0019316B"/>
    <w:rsid w:val="001A5110"/>
    <w:rsid w:val="001B23CD"/>
    <w:rsid w:val="001B502C"/>
    <w:rsid w:val="001C02A1"/>
    <w:rsid w:val="001C0410"/>
    <w:rsid w:val="001D3513"/>
    <w:rsid w:val="001D4ADB"/>
    <w:rsid w:val="001D5369"/>
    <w:rsid w:val="001E58C4"/>
    <w:rsid w:val="00201372"/>
    <w:rsid w:val="002122D5"/>
    <w:rsid w:val="0021606C"/>
    <w:rsid w:val="002173FD"/>
    <w:rsid w:val="00240FA3"/>
    <w:rsid w:val="0025568F"/>
    <w:rsid w:val="00260609"/>
    <w:rsid w:val="00263496"/>
    <w:rsid w:val="00275288"/>
    <w:rsid w:val="002958D6"/>
    <w:rsid w:val="002A5B01"/>
    <w:rsid w:val="002A6EF6"/>
    <w:rsid w:val="002B2E8E"/>
    <w:rsid w:val="002B392B"/>
    <w:rsid w:val="002B5EB2"/>
    <w:rsid w:val="002C1F7B"/>
    <w:rsid w:val="002C33AB"/>
    <w:rsid w:val="002C7E0B"/>
    <w:rsid w:val="002D28B5"/>
    <w:rsid w:val="002E4C56"/>
    <w:rsid w:val="002F05C7"/>
    <w:rsid w:val="00314911"/>
    <w:rsid w:val="00317C59"/>
    <w:rsid w:val="00333869"/>
    <w:rsid w:val="00337D7A"/>
    <w:rsid w:val="0035619A"/>
    <w:rsid w:val="00361434"/>
    <w:rsid w:val="0036558D"/>
    <w:rsid w:val="00366241"/>
    <w:rsid w:val="00366565"/>
    <w:rsid w:val="00370ECE"/>
    <w:rsid w:val="00390389"/>
    <w:rsid w:val="00394D22"/>
    <w:rsid w:val="00394DE3"/>
    <w:rsid w:val="00396461"/>
    <w:rsid w:val="003A712B"/>
    <w:rsid w:val="003C07D7"/>
    <w:rsid w:val="003E0A10"/>
    <w:rsid w:val="003F0231"/>
    <w:rsid w:val="003F2229"/>
    <w:rsid w:val="003F55F2"/>
    <w:rsid w:val="004009CA"/>
    <w:rsid w:val="00402F61"/>
    <w:rsid w:val="00404CDC"/>
    <w:rsid w:val="00417FC3"/>
    <w:rsid w:val="00444560"/>
    <w:rsid w:val="00471257"/>
    <w:rsid w:val="00472ACD"/>
    <w:rsid w:val="004742AB"/>
    <w:rsid w:val="00475730"/>
    <w:rsid w:val="004809F2"/>
    <w:rsid w:val="00487B8E"/>
    <w:rsid w:val="00491779"/>
    <w:rsid w:val="00491B8D"/>
    <w:rsid w:val="004935C2"/>
    <w:rsid w:val="004B0458"/>
    <w:rsid w:val="004B36A1"/>
    <w:rsid w:val="004B6085"/>
    <w:rsid w:val="004C6E9F"/>
    <w:rsid w:val="004D5BB3"/>
    <w:rsid w:val="004E4725"/>
    <w:rsid w:val="004E61A3"/>
    <w:rsid w:val="004E7C4E"/>
    <w:rsid w:val="00510387"/>
    <w:rsid w:val="00514F48"/>
    <w:rsid w:val="00525195"/>
    <w:rsid w:val="00534818"/>
    <w:rsid w:val="005362CB"/>
    <w:rsid w:val="00544132"/>
    <w:rsid w:val="005510A2"/>
    <w:rsid w:val="00561EA3"/>
    <w:rsid w:val="00565E16"/>
    <w:rsid w:val="005754B0"/>
    <w:rsid w:val="00584040"/>
    <w:rsid w:val="00585C24"/>
    <w:rsid w:val="005970C3"/>
    <w:rsid w:val="005A0DD7"/>
    <w:rsid w:val="005B1464"/>
    <w:rsid w:val="005B7160"/>
    <w:rsid w:val="005C3404"/>
    <w:rsid w:val="005E2F24"/>
    <w:rsid w:val="005F081E"/>
    <w:rsid w:val="005F0FD2"/>
    <w:rsid w:val="005F4790"/>
    <w:rsid w:val="005F5D73"/>
    <w:rsid w:val="00602792"/>
    <w:rsid w:val="006112ED"/>
    <w:rsid w:val="00614F25"/>
    <w:rsid w:val="0061524E"/>
    <w:rsid w:val="006162DC"/>
    <w:rsid w:val="006310F3"/>
    <w:rsid w:val="0064668B"/>
    <w:rsid w:val="006479EF"/>
    <w:rsid w:val="00647FB6"/>
    <w:rsid w:val="006617A3"/>
    <w:rsid w:val="006745D9"/>
    <w:rsid w:val="00683C01"/>
    <w:rsid w:val="00685038"/>
    <w:rsid w:val="00691FF3"/>
    <w:rsid w:val="00697598"/>
    <w:rsid w:val="006A65E6"/>
    <w:rsid w:val="006A7077"/>
    <w:rsid w:val="006A7C6B"/>
    <w:rsid w:val="006B0E6C"/>
    <w:rsid w:val="006B4013"/>
    <w:rsid w:val="006D05C9"/>
    <w:rsid w:val="006D2345"/>
    <w:rsid w:val="006D3080"/>
    <w:rsid w:val="006D36E7"/>
    <w:rsid w:val="006E1FE0"/>
    <w:rsid w:val="006E54C4"/>
    <w:rsid w:val="006E6B79"/>
    <w:rsid w:val="007001D6"/>
    <w:rsid w:val="007238FB"/>
    <w:rsid w:val="00725794"/>
    <w:rsid w:val="00726E87"/>
    <w:rsid w:val="00732916"/>
    <w:rsid w:val="00732E5C"/>
    <w:rsid w:val="007353B8"/>
    <w:rsid w:val="00736473"/>
    <w:rsid w:val="00742C37"/>
    <w:rsid w:val="00743E6A"/>
    <w:rsid w:val="007510CB"/>
    <w:rsid w:val="00766225"/>
    <w:rsid w:val="00774C7A"/>
    <w:rsid w:val="00781BD3"/>
    <w:rsid w:val="0078506B"/>
    <w:rsid w:val="00786523"/>
    <w:rsid w:val="00791D73"/>
    <w:rsid w:val="007B371E"/>
    <w:rsid w:val="007C4B42"/>
    <w:rsid w:val="007D0743"/>
    <w:rsid w:val="007D67AD"/>
    <w:rsid w:val="007E0DAD"/>
    <w:rsid w:val="007E18FA"/>
    <w:rsid w:val="007E3B0E"/>
    <w:rsid w:val="007E4122"/>
    <w:rsid w:val="007F5B86"/>
    <w:rsid w:val="007F7835"/>
    <w:rsid w:val="00806E06"/>
    <w:rsid w:val="00815C0E"/>
    <w:rsid w:val="00831F70"/>
    <w:rsid w:val="00834456"/>
    <w:rsid w:val="008414CC"/>
    <w:rsid w:val="00852785"/>
    <w:rsid w:val="008920C5"/>
    <w:rsid w:val="0089652B"/>
    <w:rsid w:val="00896729"/>
    <w:rsid w:val="008A1A88"/>
    <w:rsid w:val="008A3497"/>
    <w:rsid w:val="008A40AE"/>
    <w:rsid w:val="008C2579"/>
    <w:rsid w:val="008C2D79"/>
    <w:rsid w:val="008E1952"/>
    <w:rsid w:val="008E72E3"/>
    <w:rsid w:val="009001F7"/>
    <w:rsid w:val="00912925"/>
    <w:rsid w:val="00915919"/>
    <w:rsid w:val="00916219"/>
    <w:rsid w:val="00920CB6"/>
    <w:rsid w:val="00927EDA"/>
    <w:rsid w:val="009313A0"/>
    <w:rsid w:val="00931A7C"/>
    <w:rsid w:val="00931F3F"/>
    <w:rsid w:val="00933A68"/>
    <w:rsid w:val="00937DA2"/>
    <w:rsid w:val="00942F2C"/>
    <w:rsid w:val="00947047"/>
    <w:rsid w:val="00950E2B"/>
    <w:rsid w:val="00951467"/>
    <w:rsid w:val="009662BA"/>
    <w:rsid w:val="00973AC4"/>
    <w:rsid w:val="009A57F9"/>
    <w:rsid w:val="009A5C4D"/>
    <w:rsid w:val="009B74E9"/>
    <w:rsid w:val="009F1526"/>
    <w:rsid w:val="009F205A"/>
    <w:rsid w:val="009F469D"/>
    <w:rsid w:val="00A16013"/>
    <w:rsid w:val="00A22593"/>
    <w:rsid w:val="00A300D3"/>
    <w:rsid w:val="00A33A53"/>
    <w:rsid w:val="00A426AE"/>
    <w:rsid w:val="00A519A3"/>
    <w:rsid w:val="00A51DBD"/>
    <w:rsid w:val="00A64115"/>
    <w:rsid w:val="00A6601D"/>
    <w:rsid w:val="00A8798B"/>
    <w:rsid w:val="00A909DC"/>
    <w:rsid w:val="00A96DC6"/>
    <w:rsid w:val="00A9727C"/>
    <w:rsid w:val="00AA41FD"/>
    <w:rsid w:val="00AA6846"/>
    <w:rsid w:val="00AA7346"/>
    <w:rsid w:val="00AB21AA"/>
    <w:rsid w:val="00AC6C8B"/>
    <w:rsid w:val="00B01B6D"/>
    <w:rsid w:val="00B10A7D"/>
    <w:rsid w:val="00B10A80"/>
    <w:rsid w:val="00B1604A"/>
    <w:rsid w:val="00B1765A"/>
    <w:rsid w:val="00B40B4B"/>
    <w:rsid w:val="00B540CC"/>
    <w:rsid w:val="00B604F1"/>
    <w:rsid w:val="00B66570"/>
    <w:rsid w:val="00B8463F"/>
    <w:rsid w:val="00B86935"/>
    <w:rsid w:val="00BB0A02"/>
    <w:rsid w:val="00BD4859"/>
    <w:rsid w:val="00BE1A32"/>
    <w:rsid w:val="00BF286F"/>
    <w:rsid w:val="00BF442B"/>
    <w:rsid w:val="00BF5BDD"/>
    <w:rsid w:val="00C04DB2"/>
    <w:rsid w:val="00C2342B"/>
    <w:rsid w:val="00C42A9B"/>
    <w:rsid w:val="00C57F23"/>
    <w:rsid w:val="00C71512"/>
    <w:rsid w:val="00C739C1"/>
    <w:rsid w:val="00C7657F"/>
    <w:rsid w:val="00C93972"/>
    <w:rsid w:val="00C95F79"/>
    <w:rsid w:val="00CD0DDC"/>
    <w:rsid w:val="00CD64E1"/>
    <w:rsid w:val="00CF5F6B"/>
    <w:rsid w:val="00CF76B5"/>
    <w:rsid w:val="00D07A16"/>
    <w:rsid w:val="00D1217D"/>
    <w:rsid w:val="00D21438"/>
    <w:rsid w:val="00D27DA1"/>
    <w:rsid w:val="00D33963"/>
    <w:rsid w:val="00D46117"/>
    <w:rsid w:val="00D86A26"/>
    <w:rsid w:val="00D935F6"/>
    <w:rsid w:val="00DA093B"/>
    <w:rsid w:val="00DA583E"/>
    <w:rsid w:val="00DB06AA"/>
    <w:rsid w:val="00DB343D"/>
    <w:rsid w:val="00DD5660"/>
    <w:rsid w:val="00DE385E"/>
    <w:rsid w:val="00DE3867"/>
    <w:rsid w:val="00DE4CFB"/>
    <w:rsid w:val="00DF1170"/>
    <w:rsid w:val="00DF479B"/>
    <w:rsid w:val="00E041FD"/>
    <w:rsid w:val="00E1571D"/>
    <w:rsid w:val="00E16BD3"/>
    <w:rsid w:val="00E22F9E"/>
    <w:rsid w:val="00E30BB8"/>
    <w:rsid w:val="00E3175D"/>
    <w:rsid w:val="00E351A5"/>
    <w:rsid w:val="00E44D2F"/>
    <w:rsid w:val="00E60C15"/>
    <w:rsid w:val="00E66347"/>
    <w:rsid w:val="00E70AAE"/>
    <w:rsid w:val="00E74D2E"/>
    <w:rsid w:val="00EA06BF"/>
    <w:rsid w:val="00EA6893"/>
    <w:rsid w:val="00EC71BA"/>
    <w:rsid w:val="00EE6D5E"/>
    <w:rsid w:val="00EF6D1B"/>
    <w:rsid w:val="00EF7AA9"/>
    <w:rsid w:val="00F05A86"/>
    <w:rsid w:val="00F13C15"/>
    <w:rsid w:val="00F16223"/>
    <w:rsid w:val="00F246BA"/>
    <w:rsid w:val="00F60F37"/>
    <w:rsid w:val="00F82BE7"/>
    <w:rsid w:val="00F86C14"/>
    <w:rsid w:val="00FA3C4F"/>
    <w:rsid w:val="00FB2B86"/>
    <w:rsid w:val="00FC0D3D"/>
    <w:rsid w:val="00FC70BC"/>
    <w:rsid w:val="00FE37CF"/>
    <w:rsid w:val="00FE4418"/>
    <w:rsid w:val="00FF0C19"/>
    <w:rsid w:val="00FF7A39"/>
    <w:rsid w:val="08E41A97"/>
    <w:rsid w:val="0992434B"/>
    <w:rsid w:val="0B0805DA"/>
    <w:rsid w:val="0CD0095D"/>
    <w:rsid w:val="16822CFB"/>
    <w:rsid w:val="175F5AED"/>
    <w:rsid w:val="213E4898"/>
    <w:rsid w:val="23D22653"/>
    <w:rsid w:val="24465FD7"/>
    <w:rsid w:val="24D1585E"/>
    <w:rsid w:val="25C2039F"/>
    <w:rsid w:val="25EF76DF"/>
    <w:rsid w:val="27F5401C"/>
    <w:rsid w:val="29776717"/>
    <w:rsid w:val="29E959E8"/>
    <w:rsid w:val="2AC258D0"/>
    <w:rsid w:val="2C7E555C"/>
    <w:rsid w:val="2C9C3410"/>
    <w:rsid w:val="2CF805AA"/>
    <w:rsid w:val="2DB36ACF"/>
    <w:rsid w:val="2E346FDA"/>
    <w:rsid w:val="300D27AF"/>
    <w:rsid w:val="30D540AA"/>
    <w:rsid w:val="319163ED"/>
    <w:rsid w:val="32005CF2"/>
    <w:rsid w:val="333F7FD5"/>
    <w:rsid w:val="33B60F0D"/>
    <w:rsid w:val="37127C6B"/>
    <w:rsid w:val="39A05DA3"/>
    <w:rsid w:val="39B863C1"/>
    <w:rsid w:val="41665D9D"/>
    <w:rsid w:val="431F4B5F"/>
    <w:rsid w:val="45D77EA2"/>
    <w:rsid w:val="469730DC"/>
    <w:rsid w:val="47182731"/>
    <w:rsid w:val="48103B40"/>
    <w:rsid w:val="48D90193"/>
    <w:rsid w:val="49FD4A73"/>
    <w:rsid w:val="4B1906C2"/>
    <w:rsid w:val="4C620504"/>
    <w:rsid w:val="4E940979"/>
    <w:rsid w:val="511E1251"/>
    <w:rsid w:val="512029C8"/>
    <w:rsid w:val="54D577E8"/>
    <w:rsid w:val="55FA28BC"/>
    <w:rsid w:val="575823DC"/>
    <w:rsid w:val="58FC7894"/>
    <w:rsid w:val="59CD102D"/>
    <w:rsid w:val="5C407FA4"/>
    <w:rsid w:val="5C93087D"/>
    <w:rsid w:val="5E2A6105"/>
    <w:rsid w:val="60D444CD"/>
    <w:rsid w:val="621751B7"/>
    <w:rsid w:val="64AC5CB2"/>
    <w:rsid w:val="65083052"/>
    <w:rsid w:val="657171FE"/>
    <w:rsid w:val="6585041D"/>
    <w:rsid w:val="6F736903"/>
    <w:rsid w:val="702B30AF"/>
    <w:rsid w:val="70A4425D"/>
    <w:rsid w:val="70B0226E"/>
    <w:rsid w:val="71920663"/>
    <w:rsid w:val="71E56A73"/>
    <w:rsid w:val="72193DBF"/>
    <w:rsid w:val="73740A39"/>
    <w:rsid w:val="74EB3E62"/>
    <w:rsid w:val="75875B4C"/>
    <w:rsid w:val="758B46CC"/>
    <w:rsid w:val="784F64E3"/>
    <w:rsid w:val="79A042E2"/>
    <w:rsid w:val="79D37DD8"/>
    <w:rsid w:val="7B8B5D53"/>
    <w:rsid w:val="7E526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2"/>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20"/>
    <w:autoRedefine/>
    <w:semiHidden/>
    <w:unhideWhenUsed/>
    <w:qFormat/>
    <w:uiPriority w:val="99"/>
    <w:pPr>
      <w:jc w:val="left"/>
    </w:pPr>
  </w:style>
  <w:style w:type="paragraph" w:styleId="4">
    <w:name w:val="Balloon Text"/>
    <w:basedOn w:val="1"/>
    <w:link w:val="13"/>
    <w:autoRedefine/>
    <w:semiHidden/>
    <w:unhideWhenUsed/>
    <w:qFormat/>
    <w:uiPriority w:val="99"/>
    <w:rPr>
      <w:sz w:val="18"/>
      <w:szCs w:val="18"/>
    </w:rPr>
  </w:style>
  <w:style w:type="paragraph" w:styleId="5">
    <w:name w:val="footer"/>
    <w:basedOn w:val="1"/>
    <w:link w:val="15"/>
    <w:autoRedefine/>
    <w:unhideWhenUsed/>
    <w:qFormat/>
    <w:uiPriority w:val="99"/>
    <w:pPr>
      <w:tabs>
        <w:tab w:val="center" w:pos="4153"/>
        <w:tab w:val="right" w:pos="8306"/>
      </w:tabs>
      <w:snapToGrid w:val="0"/>
      <w:jc w:val="left"/>
    </w:pPr>
    <w:rPr>
      <w:sz w:val="18"/>
      <w:szCs w:val="18"/>
    </w:rPr>
  </w:style>
  <w:style w:type="paragraph" w:styleId="6">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21"/>
    <w:autoRedefine/>
    <w:semiHidden/>
    <w:unhideWhenUsed/>
    <w:qFormat/>
    <w:uiPriority w:val="99"/>
    <w:rPr>
      <w:b/>
      <w:bCs/>
    </w:rPr>
  </w:style>
  <w:style w:type="character" w:styleId="10">
    <w:name w:val="Hyperlink"/>
    <w:basedOn w:val="9"/>
    <w:autoRedefine/>
    <w:semiHidden/>
    <w:unhideWhenUsed/>
    <w:qFormat/>
    <w:uiPriority w:val="99"/>
    <w:rPr>
      <w:color w:val="0000FF"/>
      <w:u w:val="single"/>
    </w:rPr>
  </w:style>
  <w:style w:type="character" w:styleId="11">
    <w:name w:val="annotation reference"/>
    <w:basedOn w:val="9"/>
    <w:autoRedefine/>
    <w:semiHidden/>
    <w:unhideWhenUsed/>
    <w:qFormat/>
    <w:uiPriority w:val="99"/>
    <w:rPr>
      <w:sz w:val="21"/>
      <w:szCs w:val="21"/>
    </w:rPr>
  </w:style>
  <w:style w:type="character" w:customStyle="1" w:styleId="12">
    <w:name w:val="标题 2 字符"/>
    <w:basedOn w:val="9"/>
    <w:link w:val="2"/>
    <w:autoRedefine/>
    <w:qFormat/>
    <w:uiPriority w:val="9"/>
    <w:rPr>
      <w:rFonts w:asciiTheme="majorHAnsi" w:hAnsiTheme="majorHAnsi" w:eastAsiaTheme="majorEastAsia" w:cstheme="majorBidi"/>
      <w:b/>
      <w:bCs/>
      <w:sz w:val="32"/>
      <w:szCs w:val="32"/>
    </w:rPr>
  </w:style>
  <w:style w:type="character" w:customStyle="1" w:styleId="13">
    <w:name w:val="批注框文本 字符"/>
    <w:basedOn w:val="9"/>
    <w:link w:val="4"/>
    <w:autoRedefine/>
    <w:semiHidden/>
    <w:qFormat/>
    <w:uiPriority w:val="99"/>
    <w:rPr>
      <w:rFonts w:ascii="Times New Roman" w:hAnsi="Times New Roman" w:eastAsia="宋体" w:cs="Times New Roman"/>
      <w:sz w:val="18"/>
      <w:szCs w:val="18"/>
    </w:rPr>
  </w:style>
  <w:style w:type="character" w:customStyle="1" w:styleId="14">
    <w:name w:val="页眉 字符"/>
    <w:basedOn w:val="9"/>
    <w:link w:val="6"/>
    <w:autoRedefine/>
    <w:qFormat/>
    <w:uiPriority w:val="99"/>
    <w:rPr>
      <w:rFonts w:ascii="Times New Roman" w:hAnsi="Times New Roman" w:eastAsia="宋体" w:cs="Times New Roman"/>
      <w:sz w:val="18"/>
      <w:szCs w:val="18"/>
    </w:rPr>
  </w:style>
  <w:style w:type="character" w:customStyle="1" w:styleId="15">
    <w:name w:val="页脚 字符"/>
    <w:basedOn w:val="9"/>
    <w:link w:val="5"/>
    <w:autoRedefine/>
    <w:qFormat/>
    <w:uiPriority w:val="99"/>
    <w:rPr>
      <w:rFonts w:ascii="Times New Roman" w:hAnsi="Times New Roman" w:eastAsia="宋体" w:cs="Times New Roman"/>
      <w:sz w:val="18"/>
      <w:szCs w:val="18"/>
    </w:rPr>
  </w:style>
  <w:style w:type="character" w:customStyle="1" w:styleId="16">
    <w:name w:val="005正文 Char"/>
    <w:link w:val="17"/>
    <w:autoRedefine/>
    <w:qFormat/>
    <w:uiPriority w:val="0"/>
    <w:rPr>
      <w:kern w:val="2"/>
      <w:sz w:val="24"/>
      <w:szCs w:val="22"/>
    </w:rPr>
  </w:style>
  <w:style w:type="paragraph" w:customStyle="1" w:styleId="17">
    <w:name w:val="005正文"/>
    <w:link w:val="16"/>
    <w:autoRedefine/>
    <w:qFormat/>
    <w:uiPriority w:val="0"/>
    <w:pPr>
      <w:widowControl w:val="0"/>
      <w:spacing w:before="50" w:beforeLines="50"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styleId="18">
    <w:name w:val="List Paragraph"/>
    <w:basedOn w:val="1"/>
    <w:autoRedefine/>
    <w:qFormat/>
    <w:uiPriority w:val="34"/>
    <w:pPr>
      <w:ind w:firstLine="420" w:firstLineChars="200"/>
    </w:pPr>
  </w:style>
  <w:style w:type="paragraph" w:customStyle="1" w:styleId="19">
    <w:name w:val="修订1"/>
    <w:autoRedefine/>
    <w:hidden/>
    <w:unhideWhenUsed/>
    <w:qFormat/>
    <w:uiPriority w:val="99"/>
    <w:rPr>
      <w:rFonts w:ascii="Times New Roman" w:hAnsi="Times New Roman" w:eastAsia="宋体" w:cs="Times New Roman"/>
      <w:kern w:val="2"/>
      <w:sz w:val="21"/>
      <w:lang w:val="en-US" w:eastAsia="zh-CN" w:bidi="ar-SA"/>
    </w:rPr>
  </w:style>
  <w:style w:type="character" w:customStyle="1" w:styleId="20">
    <w:name w:val="批注文字 字符"/>
    <w:basedOn w:val="9"/>
    <w:link w:val="3"/>
    <w:autoRedefine/>
    <w:semiHidden/>
    <w:qFormat/>
    <w:uiPriority w:val="99"/>
    <w:rPr>
      <w:kern w:val="2"/>
      <w:sz w:val="21"/>
    </w:rPr>
  </w:style>
  <w:style w:type="character" w:customStyle="1" w:styleId="21">
    <w:name w:val="批注主题 字符"/>
    <w:basedOn w:val="20"/>
    <w:link w:val="7"/>
    <w:autoRedefine/>
    <w:semiHidden/>
    <w:qFormat/>
    <w:uiPriority w:val="99"/>
    <w:rPr>
      <w:b/>
      <w:bCs/>
      <w:kern w:val="2"/>
      <w:sz w:val="21"/>
    </w:rPr>
  </w:style>
  <w:style w:type="paragraph" w:customStyle="1" w:styleId="22">
    <w:name w:val="修订2"/>
    <w:autoRedefine/>
    <w:hidden/>
    <w:unhideWhenUsed/>
    <w:qFormat/>
    <w:uiPriority w:val="99"/>
    <w:rPr>
      <w:rFonts w:ascii="Times New Roman" w:hAnsi="Times New Roman" w:eastAsia="宋体" w:cs="Times New Roman"/>
      <w:kern w:val="2"/>
      <w:sz w:val="21"/>
      <w:lang w:val="en-US" w:eastAsia="zh-CN" w:bidi="ar-SA"/>
    </w:rPr>
  </w:style>
  <w:style w:type="paragraph" w:customStyle="1" w:styleId="23">
    <w:name w:val="修订3"/>
    <w:autoRedefine/>
    <w:hidden/>
    <w:unhideWhenUsed/>
    <w:qFormat/>
    <w:uiPriority w:val="99"/>
    <w:rPr>
      <w:rFonts w:ascii="Times New Roman" w:hAnsi="Times New Roman" w:eastAsia="宋体" w:cs="Times New Roman"/>
      <w:kern w:val="2"/>
      <w:sz w:val="21"/>
      <w:lang w:val="en-US" w:eastAsia="zh-CN" w:bidi="ar-SA"/>
    </w:rPr>
  </w:style>
  <w:style w:type="paragraph" w:customStyle="1" w:styleId="24">
    <w:name w:val="修订4"/>
    <w:autoRedefine/>
    <w:hidden/>
    <w:unhideWhenUsed/>
    <w:qFormat/>
    <w:uiPriority w:val="99"/>
    <w:rPr>
      <w:rFonts w:ascii="Times New Roman" w:hAnsi="Times New Roman" w:eastAsia="宋体" w:cs="Times New Roman"/>
      <w:kern w:val="2"/>
      <w:sz w:val="21"/>
      <w:lang w:val="en-US" w:eastAsia="zh-CN" w:bidi="ar-SA"/>
    </w:rPr>
  </w:style>
  <w:style w:type="paragraph" w:customStyle="1" w:styleId="25">
    <w:name w:val="修订5"/>
    <w:autoRedefine/>
    <w:hidden/>
    <w:unhideWhenUsed/>
    <w:qFormat/>
    <w:uiPriority w:val="99"/>
    <w:rPr>
      <w:rFonts w:ascii="Times New Roman" w:hAnsi="Times New Roman" w:eastAsia="宋体" w:cs="Times New Roman"/>
      <w:kern w:val="2"/>
      <w:sz w:val="21"/>
      <w:lang w:val="en-US" w:eastAsia="zh-CN" w:bidi="ar-SA"/>
    </w:rPr>
  </w:style>
  <w:style w:type="paragraph" w:customStyle="1" w:styleId="26">
    <w:name w:val="Revision"/>
    <w:autoRedefine/>
    <w:hidden/>
    <w:unhideWhenUsed/>
    <w:qFormat/>
    <w:uiPriority w:val="99"/>
    <w:rPr>
      <w:rFonts w:ascii="Times New Roman" w:hAnsi="Times New Roman" w:eastAsia="宋体" w:cs="Times New Roman"/>
      <w:kern w:val="2"/>
      <w:sz w:val="21"/>
      <w:lang w:val="en-US" w:eastAsia="zh-CN" w:bidi="ar-SA"/>
    </w:rPr>
  </w:style>
  <w:style w:type="character" w:customStyle="1" w:styleId="27">
    <w:name w:val="markdown-link-tail"/>
    <w:basedOn w:val="9"/>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3852</Words>
  <Characters>4075</Characters>
  <Lines>5</Lines>
  <Paragraphs>1</Paragraphs>
  <TotalTime>37</TotalTime>
  <ScaleCrop>false</ScaleCrop>
  <LinksUpToDate>false</LinksUpToDate>
  <CharactersWithSpaces>4242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2024-05-14T06:11:00Z</dcterms:created>
  <dc:creator>张园园</dc:creator>
  <cp:lastModifiedBy>Charlotte Wang</cp:lastModifiedBy>
  <dcterms:modified xsi:type="dcterms:W3CDTF">2026-09-11T07:15:05Z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B5CC7A4F3A524FA193D60175ED04A286_13</vt:lpwstr>
  </property>
  <property fmtid="{D5CDD505-2E9C-101B-9397-08002B2CF9AE}" pid="4" name="KSOTemplateDocerSaveRecord">
    <vt:lpwstr>eyJoZGlkIjoiOGI4NjI5OTBmMDM1ODFlMDkzNDFlZTFiMWNhZWU5ZTMiLCJ1c2VySWQiOiIxMzA1MjE2MzIwIn0=</vt:lpwstr>
  </property>
</Properties>
</file>