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369280">
      <w:pPr>
        <w:rPr>
          <w:rFonts w:ascii="宋体" w:hAnsi="宋体" w:eastAsia="宋体" w:cs="Times New Roman"/>
          <w:kern w:val="0"/>
          <w:sz w:val="24"/>
          <w:szCs w:val="22"/>
        </w:rPr>
      </w:pPr>
      <w:r>
        <w:rPr>
          <w:rFonts w:hint="eastAsia" w:ascii="宋体" w:hAnsi="宋体" w:eastAsia="宋体" w:cs="Times New Roman"/>
          <w:kern w:val="0"/>
          <w:sz w:val="24"/>
          <w:szCs w:val="22"/>
        </w:rPr>
        <w:t>证券代码</w:t>
      </w:r>
      <w:r>
        <w:rPr>
          <w:rFonts w:ascii="Calibri" w:hAnsi="Calibri" w:eastAsia="宋体" w:cs="Times New Roman"/>
          <w:kern w:val="0"/>
          <w:sz w:val="24"/>
          <w:szCs w:val="22"/>
        </w:rPr>
        <w:t>：</w:t>
      </w:r>
      <w:r>
        <w:rPr>
          <w:rFonts w:hint="eastAsia" w:ascii="Calibri" w:hAnsi="Calibri" w:eastAsia="宋体" w:cs="Times New Roman"/>
          <w:kern w:val="0"/>
          <w:sz w:val="24"/>
          <w:szCs w:val="22"/>
        </w:rPr>
        <w:t>6</w:t>
      </w:r>
      <w:r>
        <w:rPr>
          <w:rFonts w:ascii="Calibri" w:hAnsi="Calibri" w:eastAsia="宋体" w:cs="Times New Roman"/>
          <w:kern w:val="0"/>
          <w:sz w:val="24"/>
          <w:szCs w:val="22"/>
        </w:rPr>
        <w:t xml:space="preserve">05060    </w:t>
      </w:r>
      <w:r>
        <w:rPr>
          <w:rFonts w:hint="eastAsia" w:ascii="Calibri" w:hAnsi="Calibri" w:eastAsia="宋体" w:cs="Times New Roman"/>
          <w:kern w:val="0"/>
          <w:sz w:val="24"/>
          <w:szCs w:val="22"/>
        </w:rPr>
        <w:t xml:space="preserve">   </w:t>
      </w:r>
      <w:r>
        <w:rPr>
          <w:rFonts w:ascii="Calibri" w:hAnsi="Calibri" w:eastAsia="宋体" w:cs="Times New Roman"/>
          <w:kern w:val="0"/>
          <w:sz w:val="24"/>
          <w:szCs w:val="22"/>
        </w:rPr>
        <w:t xml:space="preserve">  </w:t>
      </w:r>
      <w:r>
        <w:rPr>
          <w:rFonts w:hint="eastAsia" w:ascii="Calibri" w:hAnsi="Calibri" w:eastAsia="宋体" w:cs="Times New Roman"/>
          <w:kern w:val="0"/>
          <w:sz w:val="24"/>
          <w:szCs w:val="22"/>
        </w:rPr>
        <w:t xml:space="preserve"> </w:t>
      </w:r>
      <w:r>
        <w:rPr>
          <w:rFonts w:ascii="Calibri" w:hAnsi="Calibri" w:eastAsia="宋体" w:cs="Times New Roman"/>
          <w:kern w:val="0"/>
          <w:sz w:val="24"/>
          <w:szCs w:val="22"/>
        </w:rPr>
        <w:t xml:space="preserve">                         </w:t>
      </w:r>
      <w:r>
        <w:rPr>
          <w:rFonts w:hint="eastAsia" w:ascii="Calibri" w:hAnsi="Calibri" w:eastAsia="宋体" w:cs="Times New Roman"/>
          <w:kern w:val="0"/>
          <w:sz w:val="24"/>
          <w:szCs w:val="22"/>
        </w:rPr>
        <w:t xml:space="preserve"> </w:t>
      </w:r>
      <w:r>
        <w:rPr>
          <w:rFonts w:hint="eastAsia" w:ascii="宋体" w:hAnsi="宋体" w:eastAsia="宋体" w:cs="Times New Roman"/>
          <w:kern w:val="0"/>
          <w:sz w:val="24"/>
          <w:szCs w:val="22"/>
        </w:rPr>
        <w:t>证券简称：</w:t>
      </w:r>
      <w:r>
        <w:rPr>
          <w:rFonts w:hint="eastAsia" w:ascii="Calibri" w:hAnsi="Calibri" w:eastAsia="宋体" w:cs="Times New Roman"/>
          <w:kern w:val="0"/>
          <w:sz w:val="24"/>
          <w:szCs w:val="22"/>
        </w:rPr>
        <w:t>联德股份</w:t>
      </w:r>
      <w:r>
        <w:rPr>
          <w:rFonts w:ascii="Calibri" w:hAnsi="Calibri" w:eastAsia="宋体" w:cs="Times New Roman"/>
          <w:kern w:val="0"/>
          <w:sz w:val="24"/>
          <w:szCs w:val="22"/>
        </w:rPr>
        <w:t xml:space="preserve">     </w:t>
      </w:r>
      <w:r>
        <w:rPr>
          <w:rFonts w:hint="eastAsia" w:ascii="Calibri" w:hAnsi="Calibri" w:eastAsia="宋体" w:cs="Times New Roman"/>
          <w:kern w:val="0"/>
          <w:sz w:val="24"/>
          <w:szCs w:val="22"/>
        </w:rPr>
        <w:t xml:space="preserve">  </w:t>
      </w:r>
    </w:p>
    <w:p w14:paraId="5510BB84">
      <w:pPr>
        <w:rPr>
          <w:rFonts w:ascii="宋体" w:hAnsi="宋体" w:eastAsia="宋体" w:cs="Times New Roman"/>
          <w:kern w:val="0"/>
          <w:sz w:val="24"/>
          <w:szCs w:val="22"/>
        </w:rPr>
      </w:pPr>
    </w:p>
    <w:p w14:paraId="67515ADA">
      <w:pPr>
        <w:spacing w:line="360" w:lineRule="auto"/>
        <w:jc w:val="center"/>
        <w:outlineLvl w:val="0"/>
        <w:rPr>
          <w:rFonts w:ascii="宋体" w:hAnsi="宋体" w:eastAsia="宋体" w:cs="宋体"/>
          <w:b/>
          <w:color w:val="FF0000"/>
          <w:kern w:val="0"/>
          <w:sz w:val="30"/>
          <w:szCs w:val="30"/>
        </w:rPr>
      </w:pPr>
      <w:r>
        <w:rPr>
          <w:rFonts w:hint="eastAsia" w:ascii="宋体" w:hAnsi="宋体" w:eastAsia="宋体" w:cs="宋体"/>
          <w:b/>
          <w:color w:val="FF0000"/>
          <w:kern w:val="0"/>
          <w:sz w:val="30"/>
          <w:szCs w:val="30"/>
        </w:rPr>
        <w:t>杭州联德精密机械股份有限公司</w:t>
      </w:r>
    </w:p>
    <w:p w14:paraId="00C48F9A">
      <w:pPr>
        <w:spacing w:line="360" w:lineRule="auto"/>
        <w:jc w:val="center"/>
        <w:outlineLvl w:val="0"/>
        <w:rPr>
          <w:rFonts w:ascii="宋体" w:hAnsi="宋体" w:eastAsia="宋体" w:cs="宋体"/>
          <w:b/>
          <w:color w:val="FF0000"/>
          <w:kern w:val="0"/>
          <w:sz w:val="30"/>
          <w:szCs w:val="30"/>
        </w:rPr>
      </w:pPr>
      <w:r>
        <w:rPr>
          <w:rFonts w:hint="eastAsia" w:ascii="宋体" w:hAnsi="宋体" w:eastAsia="宋体" w:cs="宋体"/>
          <w:b/>
          <w:color w:val="FF0000"/>
          <w:kern w:val="0"/>
          <w:sz w:val="30"/>
          <w:szCs w:val="30"/>
        </w:rPr>
        <w:t>投资者关系活动记录表</w:t>
      </w:r>
    </w:p>
    <w:p w14:paraId="2FEC9FA4">
      <w:pPr>
        <w:spacing w:line="400" w:lineRule="auto"/>
        <w:jc w:val="right"/>
        <w:rPr>
          <w:rFonts w:hint="eastAsia" w:ascii="宋体" w:hAnsi="宋体" w:eastAsia="宋体" w:cs="宋体"/>
          <w:sz w:val="24"/>
          <w:lang w:eastAsia="zh-CN"/>
        </w:rPr>
      </w:pPr>
      <w:r>
        <w:rPr>
          <w:rFonts w:hint="eastAsia" w:ascii="宋体" w:hAnsi="宋体" w:eastAsia="宋体" w:cs="宋体"/>
          <w:sz w:val="24"/>
        </w:rPr>
        <w:t>编号：20</w:t>
      </w:r>
      <w:r>
        <w:rPr>
          <w:rFonts w:hint="eastAsia" w:ascii="宋体" w:hAnsi="宋体" w:eastAsia="宋体" w:cs="宋体"/>
          <w:sz w:val="24"/>
          <w:lang w:val="en-US" w:eastAsia="zh-CN"/>
        </w:rPr>
        <w:t>26</w:t>
      </w:r>
      <w:r>
        <w:rPr>
          <w:rFonts w:hint="eastAsia" w:ascii="宋体" w:hAnsi="宋体" w:eastAsia="宋体" w:cs="宋体"/>
          <w:sz w:val="24"/>
        </w:rPr>
        <w:t>-0</w:t>
      </w:r>
      <w:r>
        <w:rPr>
          <w:rFonts w:hint="eastAsia" w:ascii="宋体" w:hAnsi="宋体" w:eastAsia="宋体" w:cs="宋体"/>
          <w:sz w:val="24"/>
          <w:lang w:val="en-US" w:eastAsia="zh-CN"/>
        </w:rPr>
        <w:t>04</w:t>
      </w:r>
    </w:p>
    <w:tbl>
      <w:tblPr>
        <w:tblStyle w:val="4"/>
        <w:tblW w:w="8790"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78"/>
        <w:gridCol w:w="5812"/>
      </w:tblGrid>
      <w:tr w14:paraId="32379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tcPr>
          <w:p w14:paraId="249AAC65">
            <w:pPr>
              <w:spacing w:line="360" w:lineRule="auto"/>
              <w:rPr>
                <w:rFonts w:ascii="宋体" w:hAnsi="宋体" w:eastAsia="宋体" w:cs="Times New Roman"/>
                <w:b/>
                <w:bCs/>
                <w:iCs/>
                <w:sz w:val="24"/>
              </w:rPr>
            </w:pPr>
            <w:r>
              <w:rPr>
                <w:rFonts w:hint="eastAsia" w:ascii="宋体" w:hAnsi="宋体" w:eastAsia="宋体" w:cs="Times New Roman"/>
                <w:b/>
                <w:bCs/>
                <w:iCs/>
                <w:sz w:val="24"/>
              </w:rPr>
              <w:t>投资者关系活动类别</w:t>
            </w:r>
          </w:p>
          <w:p w14:paraId="717F8FB5">
            <w:pPr>
              <w:spacing w:line="360" w:lineRule="auto"/>
              <w:rPr>
                <w:rFonts w:ascii="宋体" w:hAnsi="宋体" w:eastAsia="宋体" w:cs="Times New Roman"/>
                <w:b/>
                <w:bCs/>
                <w:iCs/>
                <w:sz w:val="24"/>
              </w:rPr>
            </w:pPr>
          </w:p>
        </w:tc>
        <w:tc>
          <w:tcPr>
            <w:tcW w:w="5812" w:type="dxa"/>
            <w:shd w:val="clear" w:color="auto" w:fill="auto"/>
          </w:tcPr>
          <w:p w14:paraId="6B86CC85">
            <w:pPr>
              <w:spacing w:line="360" w:lineRule="auto"/>
              <w:rPr>
                <w:rFonts w:ascii="宋体" w:hAnsi="宋体" w:eastAsia="宋体" w:cs="Times New Roman"/>
                <w:bCs/>
                <w:iCs/>
                <w:sz w:val="24"/>
              </w:rPr>
            </w:pPr>
            <w:r>
              <w:rPr>
                <w:rFonts w:hint="eastAsia" w:ascii="宋体" w:hAnsi="宋体" w:eastAsia="宋体" w:cs="Times New Roman"/>
                <w:bCs/>
                <w:iCs/>
                <w:sz w:val="24"/>
                <w:lang w:eastAsia="zh-CN"/>
              </w:rPr>
              <w:t>□</w:t>
            </w:r>
            <w:r>
              <w:rPr>
                <w:rFonts w:hint="eastAsia" w:ascii="宋体" w:hAnsi="宋体" w:eastAsia="宋体" w:cs="Times New Roman"/>
                <w:sz w:val="24"/>
              </w:rPr>
              <w:t xml:space="preserve">特定对象调研        </w:t>
            </w:r>
            <w:r>
              <w:rPr>
                <w:rFonts w:hint="eastAsia" w:ascii="宋体" w:hAnsi="宋体" w:eastAsia="宋体" w:cs="Times New Roman"/>
                <w:bCs/>
                <w:iCs/>
                <w:sz w:val="24"/>
                <w:lang w:eastAsia="zh-CN"/>
              </w:rPr>
              <w:t>☑</w:t>
            </w:r>
            <w:r>
              <w:rPr>
                <w:rFonts w:hint="eastAsia" w:ascii="宋体" w:hAnsi="宋体" w:eastAsia="宋体" w:cs="Times New Roman"/>
                <w:sz w:val="24"/>
              </w:rPr>
              <w:t>分析师会议</w:t>
            </w:r>
          </w:p>
          <w:p w14:paraId="5621B7A9">
            <w:pPr>
              <w:spacing w:line="360" w:lineRule="auto"/>
              <w:rPr>
                <w:rFonts w:ascii="宋体" w:hAnsi="宋体" w:eastAsia="宋体" w:cs="Times New Roman"/>
                <w:bCs/>
                <w:iCs/>
                <w:sz w:val="24"/>
              </w:rPr>
            </w:pPr>
            <w:r>
              <w:rPr>
                <w:rFonts w:hint="eastAsia" w:ascii="宋体" w:hAnsi="宋体" w:eastAsia="宋体" w:cs="Times New Roman"/>
                <w:bCs/>
                <w:iCs/>
                <w:sz w:val="24"/>
              </w:rPr>
              <w:t>□</w:t>
            </w:r>
            <w:r>
              <w:rPr>
                <w:rFonts w:hint="eastAsia" w:ascii="宋体" w:hAnsi="宋体" w:eastAsia="宋体" w:cs="Times New Roman"/>
                <w:sz w:val="24"/>
              </w:rPr>
              <w:t xml:space="preserve">媒体采访            </w:t>
            </w:r>
            <w:r>
              <w:rPr>
                <w:rFonts w:hint="eastAsia" w:ascii="宋体" w:hAnsi="宋体" w:eastAsia="宋体" w:cs="Times New Roman"/>
                <w:bCs/>
                <w:iCs/>
                <w:sz w:val="24"/>
              </w:rPr>
              <w:t>□</w:t>
            </w:r>
            <w:r>
              <w:rPr>
                <w:rFonts w:hint="eastAsia" w:ascii="宋体" w:hAnsi="宋体" w:eastAsia="宋体" w:cs="Times New Roman"/>
                <w:sz w:val="24"/>
              </w:rPr>
              <w:t>业绩说明会</w:t>
            </w:r>
          </w:p>
          <w:p w14:paraId="3E243FA4">
            <w:pPr>
              <w:spacing w:line="360" w:lineRule="auto"/>
              <w:rPr>
                <w:rFonts w:ascii="宋体" w:hAnsi="宋体" w:eastAsia="宋体" w:cs="Times New Roman"/>
                <w:bCs/>
                <w:iCs/>
                <w:sz w:val="24"/>
              </w:rPr>
            </w:pPr>
            <w:r>
              <w:rPr>
                <w:rFonts w:hint="eastAsia" w:ascii="宋体" w:hAnsi="宋体" w:eastAsia="宋体" w:cs="Times New Roman"/>
                <w:bCs/>
                <w:iCs/>
                <w:sz w:val="24"/>
              </w:rPr>
              <w:t>□</w:t>
            </w:r>
            <w:r>
              <w:rPr>
                <w:rFonts w:hint="eastAsia" w:ascii="宋体" w:hAnsi="宋体" w:eastAsia="宋体" w:cs="Times New Roman"/>
                <w:sz w:val="24"/>
              </w:rPr>
              <w:t xml:space="preserve">新闻发布会          </w:t>
            </w:r>
            <w:r>
              <w:rPr>
                <w:rFonts w:hint="eastAsia" w:ascii="宋体" w:hAnsi="宋体" w:eastAsia="宋体" w:cs="Times New Roman"/>
                <w:bCs/>
                <w:iCs/>
                <w:sz w:val="24"/>
                <w:lang w:eastAsia="zh-CN"/>
              </w:rPr>
              <w:t>☑</w:t>
            </w:r>
            <w:r>
              <w:rPr>
                <w:rFonts w:hint="eastAsia" w:ascii="宋体" w:hAnsi="宋体" w:eastAsia="宋体" w:cs="Times New Roman"/>
                <w:sz w:val="24"/>
              </w:rPr>
              <w:t>路演活动</w:t>
            </w:r>
          </w:p>
          <w:p w14:paraId="2DB2ED9D">
            <w:pPr>
              <w:tabs>
                <w:tab w:val="left" w:pos="2690"/>
                <w:tab w:val="center" w:pos="3199"/>
              </w:tabs>
              <w:spacing w:line="360" w:lineRule="auto"/>
              <w:rPr>
                <w:rFonts w:ascii="宋体" w:hAnsi="宋体" w:eastAsia="宋体" w:cs="Times New Roman"/>
                <w:bCs/>
                <w:iCs/>
                <w:sz w:val="24"/>
              </w:rPr>
            </w:pPr>
            <w:r>
              <w:rPr>
                <w:rFonts w:hint="eastAsia" w:ascii="宋体" w:hAnsi="宋体" w:eastAsia="宋体" w:cs="Times New Roman"/>
                <w:bCs/>
                <w:iCs/>
                <w:sz w:val="24"/>
                <w:lang w:eastAsia="zh-CN"/>
              </w:rPr>
              <w:t>□</w:t>
            </w:r>
            <w:r>
              <w:rPr>
                <w:rFonts w:hint="eastAsia" w:ascii="宋体" w:hAnsi="宋体" w:eastAsia="宋体" w:cs="Times New Roman"/>
                <w:sz w:val="24"/>
              </w:rPr>
              <w:t xml:space="preserve">现场参观            </w:t>
            </w:r>
            <w:r>
              <w:rPr>
                <w:rFonts w:hint="eastAsia" w:ascii="宋体" w:hAnsi="宋体" w:eastAsia="宋体" w:cs="Times New Roman"/>
                <w:bCs/>
                <w:iCs/>
                <w:sz w:val="24"/>
                <w:lang w:eastAsia="zh-CN"/>
              </w:rPr>
              <w:t>□</w:t>
            </w:r>
            <w:r>
              <w:rPr>
                <w:rFonts w:hint="eastAsia" w:ascii="宋体" w:hAnsi="宋体" w:eastAsia="宋体" w:cs="Times New Roman"/>
                <w:sz w:val="24"/>
              </w:rPr>
              <w:t>电话会议</w:t>
            </w:r>
          </w:p>
          <w:p w14:paraId="73884315">
            <w:pPr>
              <w:tabs>
                <w:tab w:val="center" w:pos="3199"/>
              </w:tabs>
              <w:spacing w:line="360" w:lineRule="auto"/>
              <w:rPr>
                <w:rFonts w:ascii="宋体" w:hAnsi="宋体" w:eastAsia="宋体" w:cs="Times New Roman"/>
                <w:bCs/>
                <w:iCs/>
                <w:sz w:val="24"/>
              </w:rPr>
            </w:pPr>
            <w:r>
              <w:rPr>
                <w:rFonts w:hint="eastAsia" w:ascii="宋体" w:hAnsi="宋体" w:eastAsia="宋体" w:cs="Times New Roman"/>
                <w:bCs/>
                <w:iCs/>
                <w:sz w:val="24"/>
              </w:rPr>
              <w:t>□</w:t>
            </w:r>
            <w:r>
              <w:rPr>
                <w:rFonts w:hint="eastAsia" w:ascii="宋体" w:hAnsi="宋体" w:eastAsia="宋体" w:cs="Times New Roman"/>
                <w:sz w:val="24"/>
              </w:rPr>
              <w:t>其他</w:t>
            </w:r>
          </w:p>
        </w:tc>
      </w:tr>
      <w:tr w14:paraId="64256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5" w:hRule="atLeast"/>
        </w:trPr>
        <w:tc>
          <w:tcPr>
            <w:tcW w:w="2978" w:type="dxa"/>
            <w:shd w:val="clear" w:color="auto" w:fill="auto"/>
          </w:tcPr>
          <w:p w14:paraId="545B6DDC">
            <w:pPr>
              <w:spacing w:line="360" w:lineRule="auto"/>
              <w:rPr>
                <w:rFonts w:ascii="宋体" w:hAnsi="宋体" w:eastAsia="宋体" w:cs="Times New Roman"/>
                <w:b/>
                <w:bCs/>
                <w:iCs/>
                <w:sz w:val="24"/>
              </w:rPr>
            </w:pPr>
            <w:r>
              <w:rPr>
                <w:rFonts w:hint="eastAsia" w:ascii="宋体" w:hAnsi="宋体" w:eastAsia="宋体" w:cs="Times New Roman"/>
                <w:b/>
                <w:bCs/>
                <w:iCs/>
                <w:sz w:val="24"/>
              </w:rPr>
              <w:t>参与单位名称及人员姓名</w:t>
            </w:r>
          </w:p>
        </w:tc>
        <w:tc>
          <w:tcPr>
            <w:tcW w:w="5812" w:type="dxa"/>
            <w:shd w:val="clear" w:color="auto" w:fill="auto"/>
          </w:tcPr>
          <w:p w14:paraId="481E979D">
            <w:pPr>
              <w:spacing w:line="360" w:lineRule="auto"/>
              <w:rPr>
                <w:rFonts w:hint="eastAsia" w:ascii="宋体" w:hAnsi="宋体" w:eastAsia="宋体" w:cs="宋体"/>
                <w:sz w:val="24"/>
                <w:szCs w:val="24"/>
                <w:lang w:val="en-US" w:eastAsia="zh-CN"/>
              </w:rPr>
            </w:pPr>
            <w:r>
              <w:rPr>
                <w:rFonts w:ascii="宋体" w:hAnsi="宋体" w:eastAsia="宋体" w:cs="宋体"/>
                <w:sz w:val="24"/>
                <w:szCs w:val="24"/>
              </w:rPr>
              <w:t>中信证券、天风证券、东吴证券、华福证券、财通证券、广发证券、华泰证券、南京证券、国元证券、国投证券、浙商证券、申万宏源证券、中金公司、国盛证券、国联民生证券、西部证券、东北证券、光大证券、国海证券、中信建投证券、高盛公司、</w:t>
            </w:r>
            <w:r>
              <w:rPr>
                <w:rFonts w:hint="eastAsia" w:ascii="宋体" w:hAnsi="宋体" w:eastAsia="宋体" w:cs="宋体"/>
                <w:sz w:val="24"/>
                <w:szCs w:val="24"/>
                <w:lang w:val="en-US" w:eastAsia="zh-CN"/>
              </w:rPr>
              <w:t>瑞银</w:t>
            </w:r>
            <w:r>
              <w:rPr>
                <w:rFonts w:ascii="宋体" w:hAnsi="宋体" w:eastAsia="宋体" w:cs="宋体"/>
                <w:sz w:val="24"/>
                <w:szCs w:val="24"/>
              </w:rPr>
              <w:t>UBS、平安基金、海富通基金、富国基金、长城基金、新华基金、大成基金、国投瑞银基金、天弘基金、圆信永丰基金、华商基金、广发基金、金鹰基金、交银施罗德基金、银华基金、国联安基金、永赢基金、诺德基金、中庚基金、安联基金、国联基金、南方基金、中信保诚基金、中银基金、华泰柏瑞基金、博时基金、博道基金、惠升基金、摩根资产管理、汇安基金、汇添富基金、申万菱信基金、诺安基金、财信基金、银河基金、鹏扬基金、路博迈基金、光大保德信基金、景顺长城基金、天治基金、中银资管、华夏基金、国寿养老、华泰资产、人保资产、众安保险、建信养老、招商信诺资管、平安养老、平安资管、华夏久盈、兴业银行、国信资管、东证融汇资管、东方资管、杭银理财、青银理财、建投资管、鹏华基金、太平洋保险资产、Polymer Capital Management、Aiim、Capella Capital、NYLC、TX Capital、鸥翎投资、安本香港资本、Point72、千禧管理、North Rock Capital、Optimas Capital、Schonfeld、Shikhara、Zestvale Capital、ACG Management、East Capital、Grand Alliance、恒生投资管理、宏利投资管理、三井住友德思资管、Yiheng Capital、Brilliance Asset Management、China Pinnacle、Comgest、鼎亚资本、富达基金、富敦、景林资产、Kadensa Capital、LMR Partners、Oxbow Capital Management、保银投资、Sigmoid Capital、Toroa Management、联博、Golden Nest Capital Management、Intewise Capital、OLP Capital Management、Perseverance Asset Management、Polar Capital、Stillpoint、Stonelake、Trivest Advisors、淡水泉投资、高毅资产、聚鸣投资、润义投资、坤阳基金、合远基金、辰翔投资、彤源投资、明河投资、浙江纳轩、涌乐基金、港丽投资、睿璞投资、睿眼投资、知未私募、蓝墨投资、鹏嘉资产、秋阳投资、齐家资产、风和资产、利位投资、粒子跃动私募、贵源投资、上海翀云、仙人掌投资</w:t>
            </w:r>
          </w:p>
        </w:tc>
      </w:tr>
      <w:tr w14:paraId="2072E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tcPr>
          <w:p w14:paraId="2C0C2A08">
            <w:pPr>
              <w:spacing w:line="360" w:lineRule="auto"/>
              <w:rPr>
                <w:rFonts w:ascii="宋体" w:hAnsi="宋体" w:eastAsia="宋体" w:cs="Times New Roman"/>
                <w:b/>
                <w:bCs/>
                <w:iCs/>
                <w:sz w:val="24"/>
              </w:rPr>
            </w:pPr>
            <w:r>
              <w:rPr>
                <w:rFonts w:hint="eastAsia" w:ascii="宋体" w:hAnsi="宋体" w:eastAsia="宋体" w:cs="Times New Roman"/>
                <w:b/>
                <w:bCs/>
                <w:iCs/>
                <w:sz w:val="24"/>
              </w:rPr>
              <w:t>会议时间</w:t>
            </w:r>
          </w:p>
        </w:tc>
        <w:tc>
          <w:tcPr>
            <w:tcW w:w="5812" w:type="dxa"/>
            <w:shd w:val="clear" w:color="auto" w:fill="auto"/>
          </w:tcPr>
          <w:p w14:paraId="4E7755EA">
            <w:pPr>
              <w:spacing w:line="360" w:lineRule="auto"/>
              <w:rPr>
                <w:rFonts w:hint="default" w:ascii="宋体" w:hAnsi="宋体" w:eastAsia="宋体" w:cs="Times New Roman"/>
                <w:bCs/>
                <w:iCs/>
                <w:sz w:val="24"/>
                <w:lang w:val="en-US" w:eastAsia="zh-CN"/>
              </w:rPr>
            </w:pPr>
            <w:r>
              <w:rPr>
                <w:rFonts w:ascii="宋体" w:hAnsi="宋体" w:eastAsia="宋体" w:cs="Times New Roman"/>
                <w:bCs/>
                <w:iCs/>
                <w:sz w:val="24"/>
              </w:rPr>
              <w:t>20</w:t>
            </w:r>
            <w:r>
              <w:rPr>
                <w:rFonts w:hint="eastAsia" w:ascii="宋体" w:hAnsi="宋体" w:eastAsia="宋体" w:cs="Times New Roman"/>
                <w:bCs/>
                <w:iCs/>
                <w:sz w:val="24"/>
                <w:lang w:val="en-US" w:eastAsia="zh-CN"/>
              </w:rPr>
              <w:t>26</w:t>
            </w:r>
            <w:r>
              <w:rPr>
                <w:rFonts w:hint="eastAsia" w:ascii="宋体" w:hAnsi="宋体" w:eastAsia="宋体" w:cs="Times New Roman"/>
                <w:bCs/>
                <w:iCs/>
                <w:sz w:val="24"/>
              </w:rPr>
              <w:t>年</w:t>
            </w:r>
            <w:r>
              <w:rPr>
                <w:rFonts w:hint="eastAsia" w:ascii="宋体" w:hAnsi="宋体" w:eastAsia="宋体" w:cs="Times New Roman"/>
                <w:bCs/>
                <w:iCs/>
                <w:sz w:val="24"/>
                <w:lang w:val="en-US" w:eastAsia="zh-CN"/>
              </w:rPr>
              <w:t>8</w:t>
            </w:r>
            <w:r>
              <w:rPr>
                <w:rFonts w:hint="eastAsia" w:ascii="宋体" w:hAnsi="宋体" w:eastAsia="宋体" w:cs="Times New Roman"/>
                <w:bCs/>
                <w:iCs/>
                <w:sz w:val="24"/>
              </w:rPr>
              <w:t>月</w:t>
            </w:r>
            <w:r>
              <w:rPr>
                <w:rFonts w:hint="eastAsia" w:ascii="宋体" w:hAnsi="宋体" w:eastAsia="宋体" w:cs="Times New Roman"/>
                <w:bCs/>
                <w:iCs/>
                <w:sz w:val="24"/>
                <w:lang w:val="en-US" w:eastAsia="zh-CN"/>
              </w:rPr>
              <w:t>24</w:t>
            </w:r>
            <w:r>
              <w:rPr>
                <w:rFonts w:hint="eastAsia" w:ascii="宋体" w:hAnsi="宋体" w:eastAsia="宋体" w:cs="Times New Roman"/>
                <w:bCs/>
                <w:iCs/>
                <w:sz w:val="24"/>
              </w:rPr>
              <w:t>日</w:t>
            </w:r>
            <w:r>
              <w:rPr>
                <w:rFonts w:hint="eastAsia" w:ascii="宋体" w:hAnsi="宋体" w:eastAsia="宋体" w:cs="Times New Roman"/>
                <w:bCs/>
                <w:iCs/>
                <w:sz w:val="24"/>
                <w:lang w:val="en-US" w:eastAsia="zh-CN"/>
              </w:rPr>
              <w:t>-2026年9月4日</w:t>
            </w:r>
          </w:p>
        </w:tc>
      </w:tr>
      <w:tr w14:paraId="4475C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tcPr>
          <w:p w14:paraId="52D9B8D2">
            <w:pPr>
              <w:spacing w:line="360" w:lineRule="auto"/>
              <w:rPr>
                <w:rFonts w:ascii="宋体" w:hAnsi="宋体" w:eastAsia="宋体" w:cs="Times New Roman"/>
                <w:b/>
                <w:bCs/>
                <w:iCs/>
                <w:sz w:val="24"/>
              </w:rPr>
            </w:pPr>
            <w:r>
              <w:rPr>
                <w:rFonts w:hint="eastAsia" w:ascii="宋体" w:hAnsi="宋体" w:eastAsia="宋体" w:cs="Times New Roman"/>
                <w:b/>
                <w:bCs/>
                <w:iCs/>
                <w:sz w:val="24"/>
              </w:rPr>
              <w:t>会议地点</w:t>
            </w:r>
          </w:p>
        </w:tc>
        <w:tc>
          <w:tcPr>
            <w:tcW w:w="5812" w:type="dxa"/>
            <w:shd w:val="clear" w:color="auto" w:fill="auto"/>
          </w:tcPr>
          <w:p w14:paraId="68A835AD">
            <w:pPr>
              <w:spacing w:line="360" w:lineRule="auto"/>
              <w:rPr>
                <w:rFonts w:hint="default" w:ascii="宋体" w:hAnsi="宋体" w:eastAsia="宋体" w:cs="Times New Roman"/>
                <w:bCs/>
                <w:iCs/>
                <w:sz w:val="24"/>
                <w:lang w:val="en-US" w:eastAsia="zh-CN"/>
              </w:rPr>
            </w:pPr>
            <w:r>
              <w:rPr>
                <w:rFonts w:hint="eastAsia" w:ascii="宋体" w:hAnsi="宋体" w:eastAsia="宋体" w:cs="Times New Roman"/>
                <w:bCs/>
                <w:iCs/>
                <w:sz w:val="24"/>
                <w:lang w:val="en-US" w:eastAsia="zh-CN"/>
              </w:rPr>
              <w:t>中金公司策略会、国盛证券策略会、国联民生证券策略会、西部证券策略会、东北证券策略会、高盛公司策略会、瑞银UBS策略会、光大证券策略会、天风证券策略会、东吴证券策略会、华福证券策略会、财通证券策略会、广发证券策略会、国投证券策略会、浙商证券策略会、申万宏源证券策略会、国海证券策略会、中信建投证券策略会</w:t>
            </w:r>
          </w:p>
        </w:tc>
      </w:tr>
      <w:tr w14:paraId="727AC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tcPr>
          <w:p w14:paraId="0EA40CB2">
            <w:pPr>
              <w:spacing w:line="360" w:lineRule="auto"/>
              <w:rPr>
                <w:rFonts w:ascii="宋体" w:hAnsi="宋体" w:eastAsia="宋体" w:cs="Times New Roman"/>
                <w:b/>
                <w:bCs/>
                <w:iCs/>
                <w:sz w:val="24"/>
              </w:rPr>
            </w:pPr>
            <w:r>
              <w:rPr>
                <w:rFonts w:hint="eastAsia" w:ascii="宋体" w:hAnsi="宋体" w:eastAsia="宋体" w:cs="Times New Roman"/>
                <w:b/>
                <w:bCs/>
                <w:iCs/>
                <w:sz w:val="24"/>
              </w:rPr>
              <w:t>上市公司接待人员姓名</w:t>
            </w:r>
          </w:p>
        </w:tc>
        <w:tc>
          <w:tcPr>
            <w:tcW w:w="5812" w:type="dxa"/>
            <w:shd w:val="clear" w:color="auto" w:fill="auto"/>
          </w:tcPr>
          <w:p w14:paraId="4B930B04">
            <w:pPr>
              <w:spacing w:line="360" w:lineRule="auto"/>
              <w:rPr>
                <w:rFonts w:hint="eastAsia" w:ascii="宋体" w:hAnsi="宋体" w:eastAsia="宋体" w:cs="Times New Roman"/>
                <w:bCs/>
                <w:iCs/>
                <w:sz w:val="24"/>
              </w:rPr>
            </w:pPr>
            <w:r>
              <w:rPr>
                <w:rFonts w:hint="eastAsia" w:ascii="宋体" w:hAnsi="宋体" w:eastAsia="宋体" w:cs="Times New Roman"/>
                <w:bCs/>
                <w:iCs/>
                <w:sz w:val="24"/>
              </w:rPr>
              <w:t>董事会秘书：潘连彬</w:t>
            </w:r>
          </w:p>
          <w:p w14:paraId="7663CA3B">
            <w:pPr>
              <w:spacing w:line="360" w:lineRule="auto"/>
              <w:rPr>
                <w:rFonts w:hint="default" w:ascii="宋体" w:hAnsi="宋体" w:eastAsia="宋体" w:cs="Times New Roman"/>
                <w:bCs/>
                <w:iCs/>
                <w:sz w:val="24"/>
                <w:lang w:val="en-US" w:eastAsia="zh-CN"/>
              </w:rPr>
            </w:pPr>
            <w:r>
              <w:rPr>
                <w:rFonts w:hint="eastAsia" w:ascii="宋体" w:hAnsi="宋体" w:eastAsia="宋体" w:cs="Times New Roman"/>
                <w:bCs/>
                <w:iCs/>
                <w:sz w:val="24"/>
                <w:lang w:val="en-US" w:eastAsia="zh-CN"/>
              </w:rPr>
              <w:t>证券事务代表：吕伊昆</w:t>
            </w:r>
          </w:p>
        </w:tc>
      </w:tr>
      <w:tr w14:paraId="1EEAE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1" w:hRule="atLeast"/>
        </w:trPr>
        <w:tc>
          <w:tcPr>
            <w:tcW w:w="2978" w:type="dxa"/>
            <w:shd w:val="clear" w:color="auto" w:fill="auto"/>
            <w:vAlign w:val="center"/>
          </w:tcPr>
          <w:p w14:paraId="42D2EAFC">
            <w:pPr>
              <w:spacing w:line="360" w:lineRule="auto"/>
              <w:rPr>
                <w:rFonts w:ascii="宋体" w:hAnsi="宋体" w:eastAsia="宋体" w:cs="Times New Roman"/>
                <w:b/>
                <w:bCs/>
                <w:iCs/>
                <w:sz w:val="24"/>
              </w:rPr>
            </w:pPr>
            <w:r>
              <w:rPr>
                <w:rFonts w:hint="eastAsia" w:ascii="宋体" w:hAnsi="宋体" w:eastAsia="宋体" w:cs="Times New Roman"/>
                <w:b/>
                <w:bCs/>
                <w:iCs/>
                <w:sz w:val="24"/>
              </w:rPr>
              <w:t>投资者关系活动主要内容介绍</w:t>
            </w:r>
          </w:p>
        </w:tc>
        <w:tc>
          <w:tcPr>
            <w:tcW w:w="5812" w:type="dxa"/>
            <w:shd w:val="clear" w:color="auto" w:fill="auto"/>
          </w:tcPr>
          <w:p w14:paraId="18F14434">
            <w:pPr>
              <w:spacing w:line="360" w:lineRule="auto"/>
              <w:rPr>
                <w:rFonts w:hint="eastAsia" w:ascii="宋体" w:hAnsi="宋体" w:eastAsia="宋体" w:cs="Times New Roman"/>
                <w:b/>
                <w:sz w:val="24"/>
              </w:rPr>
            </w:pPr>
            <w:r>
              <w:rPr>
                <w:rFonts w:hint="eastAsia" w:ascii="宋体" w:hAnsi="宋体" w:eastAsia="宋体" w:cs="Times New Roman"/>
                <w:b/>
                <w:sz w:val="24"/>
              </w:rPr>
              <w:t>【Q</w:t>
            </w:r>
            <w:r>
              <w:rPr>
                <w:rFonts w:ascii="宋体" w:hAnsi="宋体" w:eastAsia="宋体" w:cs="Times New Roman"/>
                <w:b/>
                <w:sz w:val="24"/>
              </w:rPr>
              <w:t>&amp;A</w:t>
            </w:r>
            <w:r>
              <w:rPr>
                <w:rFonts w:hint="eastAsia" w:ascii="宋体" w:hAnsi="宋体" w:eastAsia="宋体" w:cs="Times New Roman"/>
                <w:b/>
                <w:sz w:val="24"/>
              </w:rPr>
              <w:t>】</w:t>
            </w:r>
          </w:p>
          <w:p w14:paraId="46B79E1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问：</w:t>
            </w:r>
            <w:r>
              <w:rPr>
                <w:rFonts w:hint="eastAsia" w:ascii="宋体" w:hAnsi="宋体" w:eastAsia="宋体" w:cs="宋体"/>
                <w:sz w:val="24"/>
                <w:szCs w:val="24"/>
              </w:rPr>
              <w:t>请介绍公司制冷压缩机业务现状，AI 算力发展对这块业务带来哪些影响？</w:t>
            </w:r>
          </w:p>
          <w:p w14:paraId="68A65CF8">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答：制冷压缩机是公司核心业务板块之一，上半年公司制冷压缩机相关产品依托既有全球头部客户资源，在商用工业制冷、暖通温控等传统领域保持稳定供货，产品可靠性、能效指标持续迭代优化。AI 算力产业的快速发展</w:t>
            </w:r>
            <w:bookmarkStart w:id="0" w:name="_GoBack"/>
            <w:bookmarkEnd w:id="0"/>
            <w:r>
              <w:rPr>
                <w:rFonts w:hint="eastAsia" w:ascii="宋体" w:hAnsi="宋体" w:eastAsia="宋体" w:cs="宋体"/>
                <w:sz w:val="24"/>
                <w:szCs w:val="24"/>
              </w:rPr>
              <w:t>，带来数据中心等高功率密度温控的新增需求，对制冷压缩机的温控精度、连续运行稳定性、能效水平提出更高要求，打开了新的应用市场空间。目前该业务</w:t>
            </w:r>
            <w:r>
              <w:rPr>
                <w:rFonts w:ascii="宋体" w:hAnsi="宋体" w:eastAsia="宋体" w:cs="宋体"/>
                <w:sz w:val="24"/>
                <w:szCs w:val="24"/>
              </w:rPr>
              <w:t>市场竞争格局、下游客户落地节奏仍存在不确定性，相关业务拓展进度存在不及预期的可能，提醒您注意投资风险。公司当前正在持续加快相关业务的拓展，未来会根据市场需求与业务进展有序推进。谢谢！</w:t>
            </w:r>
          </w:p>
          <w:p w14:paraId="5B70394C">
            <w:pPr>
              <w:spacing w:line="360" w:lineRule="auto"/>
              <w:ind w:firstLine="480" w:firstLineChars="200"/>
              <w:rPr>
                <w:rFonts w:ascii="宋体" w:hAnsi="宋体" w:eastAsia="宋体" w:cs="宋体"/>
                <w:sz w:val="24"/>
                <w:szCs w:val="24"/>
              </w:rPr>
            </w:pPr>
          </w:p>
          <w:p w14:paraId="6B4529D9">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问：公司大马力发动机相关业务目前拓展进展如何？该赛道后续增长空间怎么看？</w:t>
            </w:r>
          </w:p>
          <w:p w14:paraId="01E3E6AB">
            <w:pPr>
              <w:spacing w:line="360" w:lineRule="auto"/>
              <w:ind w:firstLine="480" w:firstLineChars="200"/>
              <w:rPr>
                <w:rFonts w:ascii="宋体" w:hAnsi="宋体" w:eastAsia="宋体" w:cs="宋体"/>
                <w:sz w:val="24"/>
                <w:szCs w:val="24"/>
              </w:rPr>
            </w:pPr>
            <w:r>
              <w:rPr>
                <w:rFonts w:hint="eastAsia" w:ascii="宋体" w:hAnsi="宋体" w:eastAsia="宋体" w:cs="宋体"/>
                <w:sz w:val="24"/>
                <w:szCs w:val="24"/>
              </w:rPr>
              <w:t>答：上半年公司重点推进大马力发动机业务拓展，内燃机、燃气轮机两类产品均实现较快增长，客户开拓取得积极进展，已进入多家全球头部客户供应链体系。依托 “铸造 + 机械加工” 全工序一体化优势，公司在大马力发动机核心结构件领域的技术能力与批量交付能力逐步获得客户认可，产品可配套数据中心电源、燃气电站、分布式发电等下游高景气场景。后续公司将持续深化该赛道布局，依托现有客户资源稳步扩大业务规模，打造新的业绩增长极。</w:t>
            </w:r>
          </w:p>
          <w:p w14:paraId="14E73B1A">
            <w:pPr>
              <w:spacing w:line="360" w:lineRule="auto"/>
              <w:ind w:firstLine="480" w:firstLineChars="200"/>
              <w:rPr>
                <w:rFonts w:ascii="宋体" w:hAnsi="宋体" w:eastAsia="宋体" w:cs="宋体"/>
                <w:sz w:val="24"/>
                <w:szCs w:val="24"/>
              </w:rPr>
            </w:pPr>
          </w:p>
          <w:p w14:paraId="04BAF619">
            <w:pPr>
              <w:spacing w:line="360" w:lineRule="auto"/>
              <w:ind w:firstLine="480" w:firstLineChars="200"/>
              <w:rPr>
                <w:rFonts w:ascii="宋体" w:hAnsi="宋体" w:eastAsia="宋体" w:cs="宋体"/>
                <w:sz w:val="24"/>
                <w:szCs w:val="24"/>
              </w:rPr>
            </w:pPr>
            <w:r>
              <w:rPr>
                <w:rFonts w:ascii="宋体" w:hAnsi="宋体" w:eastAsia="宋体" w:cs="宋体"/>
                <w:sz w:val="24"/>
                <w:szCs w:val="24"/>
              </w:rPr>
              <w:t>问：公司上半年经营活动产生的现金流量净额表现如何？利润的现金含量如何？</w:t>
            </w:r>
          </w:p>
          <w:p w14:paraId="3BB1C45B">
            <w:pPr>
              <w:spacing w:line="360" w:lineRule="auto"/>
              <w:ind w:firstLine="480" w:firstLineChars="200"/>
              <w:rPr>
                <w:rFonts w:ascii="宋体" w:hAnsi="宋体" w:eastAsia="宋体" w:cs="宋体"/>
                <w:sz w:val="24"/>
                <w:szCs w:val="24"/>
              </w:rPr>
            </w:pPr>
            <w:r>
              <w:rPr>
                <w:rFonts w:ascii="宋体" w:hAnsi="宋体" w:eastAsia="宋体" w:cs="宋体"/>
                <w:sz w:val="24"/>
                <w:szCs w:val="24"/>
              </w:rPr>
              <w:t>答：上半年公司经营活动产生的现金流量净额为 1.73 亿元，同比增长 39.56%，增速明显高于营收和净利润增速，现金净利比约为 1.25 倍，利润含金量较高。主要系本期销售收入增加，销售商品、提供劳务收到的现金增加所致；同时应收账款规模较期初增长约 17%，低于营收同比增速，回款管理持续优化，盈利质量稳步提升。</w:t>
            </w:r>
          </w:p>
          <w:p w14:paraId="51B0D581">
            <w:pPr>
              <w:spacing w:line="360" w:lineRule="auto"/>
              <w:ind w:firstLine="480" w:firstLineChars="200"/>
              <w:rPr>
                <w:rFonts w:ascii="宋体" w:hAnsi="宋体" w:eastAsia="宋体" w:cs="宋体"/>
                <w:sz w:val="24"/>
                <w:szCs w:val="24"/>
              </w:rPr>
            </w:pPr>
          </w:p>
          <w:p w14:paraId="7E0E6BEE">
            <w:pPr>
              <w:spacing w:line="360" w:lineRule="auto"/>
              <w:ind w:firstLine="480" w:firstLineChars="200"/>
              <w:rPr>
                <w:rFonts w:hint="eastAsia" w:ascii="宋体" w:hAnsi="宋体" w:eastAsia="宋体" w:cs="宋体"/>
                <w:sz w:val="24"/>
                <w:szCs w:val="24"/>
              </w:rPr>
            </w:pPr>
            <w:r>
              <w:rPr>
                <w:rFonts w:ascii="宋体" w:hAnsi="宋体" w:eastAsia="宋体" w:cs="宋体"/>
                <w:sz w:val="24"/>
                <w:szCs w:val="24"/>
              </w:rPr>
              <w:t>问：公司上半年毛利率水平如何？相比去年同期有何变化？</w:t>
            </w:r>
          </w:p>
          <w:p w14:paraId="7B351C3F">
            <w:pPr>
              <w:spacing w:line="360" w:lineRule="auto"/>
              <w:ind w:firstLine="480" w:firstLineChars="200"/>
              <w:rPr>
                <w:rFonts w:ascii="宋体" w:hAnsi="宋体" w:eastAsia="宋体" w:cs="宋体"/>
                <w:sz w:val="24"/>
                <w:szCs w:val="24"/>
              </w:rPr>
            </w:pPr>
            <w:r>
              <w:rPr>
                <w:rFonts w:ascii="宋体" w:hAnsi="宋体" w:eastAsia="宋体" w:cs="宋体"/>
                <w:sz w:val="24"/>
                <w:szCs w:val="24"/>
              </w:rPr>
              <w:t>答：上半年公司综合毛利率约 38.06%，同比提升约 1.22 个百分点；扣除非经常性损益后的归母净利润为 1.37 亿元，同比增长 28.46%，利润增速持续高于营收增速。毛利率提升主要得益于产品结构持续优化、高附加值业务占比提升，以及降本增效举措的稳步落地。后续公司将继续通过产品结构升级和精细化管理巩固盈利水平。</w:t>
            </w:r>
          </w:p>
          <w:p w14:paraId="06198544">
            <w:pPr>
              <w:spacing w:line="360" w:lineRule="auto"/>
              <w:ind w:firstLine="480" w:firstLineChars="200"/>
              <w:rPr>
                <w:rFonts w:ascii="宋体" w:hAnsi="宋体" w:eastAsia="宋体" w:cs="宋体"/>
                <w:sz w:val="24"/>
                <w:szCs w:val="24"/>
              </w:rPr>
            </w:pPr>
          </w:p>
          <w:p w14:paraId="117089AA">
            <w:pPr>
              <w:spacing w:line="360" w:lineRule="auto"/>
              <w:ind w:firstLine="480" w:firstLineChars="200"/>
              <w:rPr>
                <w:rFonts w:ascii="宋体" w:hAnsi="宋体" w:eastAsia="宋体" w:cs="宋体"/>
                <w:sz w:val="24"/>
                <w:szCs w:val="24"/>
              </w:rPr>
            </w:pPr>
            <w:r>
              <w:rPr>
                <w:rFonts w:ascii="宋体" w:hAnsi="宋体" w:eastAsia="宋体" w:cs="宋体"/>
                <w:sz w:val="24"/>
                <w:szCs w:val="24"/>
              </w:rPr>
              <w:t>问：公司境外收入占比较高，上半年汇率波动对财务费用产生了多大影响？公司有何应对措施？</w:t>
            </w:r>
          </w:p>
          <w:p w14:paraId="425A1FD3">
            <w:pPr>
              <w:spacing w:line="360" w:lineRule="auto"/>
              <w:ind w:firstLine="480" w:firstLineChars="200"/>
              <w:rPr>
                <w:rFonts w:ascii="宋体" w:hAnsi="宋体" w:eastAsia="宋体" w:cs="宋体"/>
                <w:sz w:val="24"/>
                <w:szCs w:val="24"/>
              </w:rPr>
            </w:pPr>
            <w:r>
              <w:rPr>
                <w:rFonts w:ascii="宋体" w:hAnsi="宋体" w:eastAsia="宋体" w:cs="宋体"/>
                <w:sz w:val="24"/>
                <w:szCs w:val="24"/>
              </w:rPr>
              <w:t>答：公司境外主营业务收入占比超五成，汇率波动对经营成果存在一定影响。上半年受人民币汇率波动影响，公司确认汇兑损失约 1,003.68 万元，上年同期为汇兑收益 86.77 万元，叠加银行理财产品到期导致利息收入减少，公司财务费用相应有所增加。公司将持续关注汇率市场变化，通过加强外币资金管理、优化结算安排等方式，尽可能降低汇率波动对经营业绩的影响。</w:t>
            </w:r>
          </w:p>
          <w:p w14:paraId="6313D787">
            <w:pPr>
              <w:spacing w:line="360" w:lineRule="auto"/>
              <w:rPr>
                <w:rFonts w:ascii="宋体" w:hAnsi="宋体" w:eastAsia="宋体" w:cs="宋体"/>
                <w:sz w:val="24"/>
                <w:szCs w:val="24"/>
              </w:rPr>
            </w:pPr>
          </w:p>
          <w:p w14:paraId="04D771C9">
            <w:pPr>
              <w:spacing w:line="360" w:lineRule="auto"/>
              <w:ind w:firstLine="480" w:firstLineChars="200"/>
              <w:rPr>
                <w:rFonts w:ascii="宋体" w:hAnsi="宋体" w:eastAsia="宋体" w:cs="宋体"/>
                <w:sz w:val="24"/>
                <w:szCs w:val="24"/>
              </w:rPr>
            </w:pPr>
            <w:r>
              <w:rPr>
                <w:rFonts w:ascii="宋体" w:hAnsi="宋体" w:eastAsia="宋体" w:cs="宋体"/>
                <w:sz w:val="24"/>
                <w:szCs w:val="24"/>
              </w:rPr>
              <w:t>问：从资产负债表相关科目看，公司当前订单与需求端呈现什么特征？</w:t>
            </w:r>
          </w:p>
          <w:p w14:paraId="7E1C13CC">
            <w:pPr>
              <w:spacing w:line="360" w:lineRule="auto"/>
              <w:ind w:firstLine="480" w:firstLineChars="200"/>
              <w:rPr>
                <w:rFonts w:hint="eastAsia" w:ascii="宋体" w:hAnsi="宋体" w:eastAsia="宋体" w:cs="宋体"/>
                <w:sz w:val="24"/>
                <w:szCs w:val="24"/>
                <w:lang w:val="en-US" w:eastAsia="zh-CN"/>
              </w:rPr>
            </w:pPr>
            <w:r>
              <w:rPr>
                <w:rFonts w:ascii="宋体" w:hAnsi="宋体" w:eastAsia="宋体" w:cs="宋体"/>
                <w:sz w:val="24"/>
                <w:szCs w:val="24"/>
              </w:rPr>
              <w:t xml:space="preserve"> 答：报告期末公司合同负债较期初增长 231.80%，主要为预收货款增加；应付账款较期初增长 51.92%，主要为订单增长带动原材料采购增加；存货较期初增长约 10%，主要为备货生产增加。上述指标综合反映下游需求旺盛、在手订单饱满，公司正加快备货与交付节奏。同时公司在建工程较期初增长 79.39%，主要系墨西哥生产基地等扩产项目投入增加，为后续订单交付提供产能保障。</w:t>
            </w:r>
          </w:p>
        </w:tc>
      </w:tr>
      <w:tr w14:paraId="0B9FA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vAlign w:val="center"/>
          </w:tcPr>
          <w:p w14:paraId="3F3910B0">
            <w:pPr>
              <w:spacing w:line="360" w:lineRule="auto"/>
              <w:rPr>
                <w:rFonts w:hint="eastAsia" w:ascii="宋体" w:hAnsi="宋体" w:eastAsia="宋体" w:cs="Times New Roman"/>
                <w:b/>
                <w:bCs/>
                <w:iCs/>
                <w:sz w:val="24"/>
              </w:rPr>
            </w:pPr>
            <w:r>
              <w:rPr>
                <w:rFonts w:hint="eastAsia" w:ascii="宋体" w:hAnsi="宋体" w:eastAsia="宋体" w:cs="Times New Roman"/>
                <w:b/>
                <w:bCs/>
                <w:iCs/>
                <w:sz w:val="24"/>
              </w:rPr>
              <w:t>关于本次活动是否涉及应披露重大信息的说明</w:t>
            </w:r>
          </w:p>
        </w:tc>
        <w:tc>
          <w:tcPr>
            <w:tcW w:w="5812" w:type="dxa"/>
            <w:shd w:val="clear" w:color="auto" w:fill="auto"/>
          </w:tcPr>
          <w:p w14:paraId="06DBAF38">
            <w:pPr>
              <w:spacing w:line="360" w:lineRule="auto"/>
              <w:rPr>
                <w:rFonts w:hint="eastAsia" w:ascii="宋体" w:hAnsi="宋体" w:eastAsia="宋体" w:cs="Times New Roman"/>
                <w:bCs/>
                <w:iCs/>
                <w:sz w:val="24"/>
              </w:rPr>
            </w:pPr>
            <w:r>
              <w:rPr>
                <w:rFonts w:hint="eastAsia" w:ascii="宋体" w:hAnsi="宋体" w:eastAsia="宋体" w:cs="Times New Roman"/>
                <w:bCs/>
                <w:iCs/>
                <w:sz w:val="24"/>
              </w:rPr>
              <w:t>本次活动不涉及未公开披露的重大信息。</w:t>
            </w:r>
          </w:p>
        </w:tc>
      </w:tr>
      <w:tr w14:paraId="7E013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78" w:type="dxa"/>
            <w:shd w:val="clear" w:color="auto" w:fill="auto"/>
            <w:vAlign w:val="center"/>
          </w:tcPr>
          <w:p w14:paraId="79A2112F">
            <w:pPr>
              <w:spacing w:line="360" w:lineRule="auto"/>
              <w:rPr>
                <w:rFonts w:ascii="宋体" w:hAnsi="宋体" w:eastAsia="宋体" w:cs="Times New Roman"/>
                <w:b/>
                <w:bCs/>
                <w:iCs/>
                <w:sz w:val="24"/>
              </w:rPr>
            </w:pPr>
            <w:r>
              <w:rPr>
                <w:rFonts w:hint="eastAsia" w:ascii="宋体" w:hAnsi="宋体" w:eastAsia="宋体" w:cs="Times New Roman"/>
                <w:b/>
                <w:bCs/>
                <w:iCs/>
                <w:sz w:val="24"/>
              </w:rPr>
              <w:t>附件清单（如有）</w:t>
            </w:r>
          </w:p>
        </w:tc>
        <w:tc>
          <w:tcPr>
            <w:tcW w:w="5812" w:type="dxa"/>
            <w:shd w:val="clear" w:color="auto" w:fill="auto"/>
          </w:tcPr>
          <w:p w14:paraId="7E6792C4">
            <w:pPr>
              <w:spacing w:line="360" w:lineRule="auto"/>
              <w:rPr>
                <w:rFonts w:ascii="宋体" w:hAnsi="宋体" w:eastAsia="宋体" w:cs="Times New Roman"/>
                <w:bCs/>
                <w:iCs/>
                <w:sz w:val="24"/>
              </w:rPr>
            </w:pPr>
            <w:r>
              <w:rPr>
                <w:rFonts w:hint="eastAsia" w:ascii="宋体" w:hAnsi="宋体" w:eastAsia="宋体" w:cs="Times New Roman"/>
                <w:bCs/>
                <w:iCs/>
                <w:sz w:val="24"/>
              </w:rPr>
              <w:t>无</w:t>
            </w:r>
          </w:p>
        </w:tc>
      </w:tr>
      <w:tr w14:paraId="0620C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 w:hRule="atLeast"/>
        </w:trPr>
        <w:tc>
          <w:tcPr>
            <w:tcW w:w="2978" w:type="dxa"/>
            <w:shd w:val="clear" w:color="auto" w:fill="auto"/>
            <w:vAlign w:val="center"/>
          </w:tcPr>
          <w:p w14:paraId="6CFCE40E">
            <w:pPr>
              <w:spacing w:line="360" w:lineRule="auto"/>
              <w:rPr>
                <w:rFonts w:ascii="宋体" w:hAnsi="宋体" w:eastAsia="宋体" w:cs="Times New Roman"/>
                <w:b/>
                <w:bCs/>
                <w:iCs/>
                <w:sz w:val="24"/>
              </w:rPr>
            </w:pPr>
            <w:r>
              <w:rPr>
                <w:rFonts w:hint="eastAsia" w:ascii="宋体" w:hAnsi="宋体" w:eastAsia="宋体" w:cs="Times New Roman"/>
                <w:b/>
                <w:bCs/>
                <w:iCs/>
                <w:sz w:val="24"/>
              </w:rPr>
              <w:t>日期</w:t>
            </w:r>
          </w:p>
        </w:tc>
        <w:tc>
          <w:tcPr>
            <w:tcW w:w="5812" w:type="dxa"/>
            <w:shd w:val="clear" w:color="auto" w:fill="auto"/>
            <w:vAlign w:val="center"/>
          </w:tcPr>
          <w:p w14:paraId="53AD400A">
            <w:pPr>
              <w:spacing w:line="360" w:lineRule="auto"/>
              <w:ind w:firstLine="240" w:firstLineChars="100"/>
              <w:rPr>
                <w:rFonts w:ascii="宋体" w:hAnsi="宋体" w:eastAsia="宋体" w:cs="Times New Roman"/>
                <w:iCs/>
                <w:sz w:val="24"/>
              </w:rPr>
            </w:pPr>
            <w:r>
              <w:rPr>
                <w:rFonts w:hint="eastAsia" w:ascii="宋体" w:hAnsi="宋体" w:eastAsia="宋体" w:cs="Times New Roman"/>
                <w:iCs/>
                <w:sz w:val="24"/>
              </w:rPr>
              <w:t>2</w:t>
            </w:r>
            <w:r>
              <w:rPr>
                <w:rFonts w:ascii="宋体" w:hAnsi="宋体" w:eastAsia="宋体" w:cs="Times New Roman"/>
                <w:iCs/>
                <w:sz w:val="24"/>
              </w:rPr>
              <w:t>0</w:t>
            </w:r>
            <w:r>
              <w:rPr>
                <w:rFonts w:hint="eastAsia" w:ascii="宋体" w:hAnsi="宋体" w:eastAsia="宋体" w:cs="Times New Roman"/>
                <w:iCs/>
                <w:sz w:val="24"/>
                <w:lang w:val="en-US" w:eastAsia="zh-CN"/>
              </w:rPr>
              <w:t>26</w:t>
            </w:r>
            <w:r>
              <w:rPr>
                <w:rFonts w:hint="eastAsia" w:ascii="宋体" w:hAnsi="宋体" w:eastAsia="宋体" w:cs="Times New Roman"/>
                <w:iCs/>
                <w:sz w:val="24"/>
              </w:rPr>
              <w:t>年</w:t>
            </w:r>
            <w:r>
              <w:rPr>
                <w:rFonts w:hint="eastAsia" w:ascii="宋体" w:hAnsi="宋体" w:eastAsia="宋体" w:cs="Times New Roman"/>
                <w:iCs/>
                <w:sz w:val="24"/>
                <w:lang w:val="en-US" w:eastAsia="zh-CN"/>
              </w:rPr>
              <w:t>9</w:t>
            </w:r>
            <w:r>
              <w:rPr>
                <w:rFonts w:hint="eastAsia" w:ascii="宋体" w:hAnsi="宋体" w:eastAsia="宋体" w:cs="Times New Roman"/>
                <w:iCs/>
                <w:sz w:val="24"/>
              </w:rPr>
              <w:t>月</w:t>
            </w:r>
            <w:r>
              <w:rPr>
                <w:rFonts w:hint="eastAsia" w:ascii="宋体" w:hAnsi="宋体" w:eastAsia="宋体" w:cs="Times New Roman"/>
                <w:iCs/>
                <w:sz w:val="24"/>
                <w:lang w:val="en-US" w:eastAsia="zh-CN"/>
              </w:rPr>
              <w:t>4</w:t>
            </w:r>
            <w:r>
              <w:rPr>
                <w:rFonts w:hint="eastAsia" w:ascii="宋体" w:hAnsi="宋体" w:eastAsia="宋体" w:cs="Times New Roman"/>
                <w:iCs/>
                <w:sz w:val="24"/>
              </w:rPr>
              <w:t>日</w:t>
            </w:r>
          </w:p>
        </w:tc>
      </w:tr>
    </w:tbl>
    <w:p w14:paraId="68228BFA"/>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ans-serif">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NhMzA4ZjBjOTk0OTNiNTQ5NmIzZjhkN2ZiMDQxNzYifQ=="/>
  </w:docVars>
  <w:rsids>
    <w:rsidRoot w:val="03ED4C1E"/>
    <w:rsid w:val="001000EC"/>
    <w:rsid w:val="00115B2C"/>
    <w:rsid w:val="00133C2A"/>
    <w:rsid w:val="001922DD"/>
    <w:rsid w:val="001B522B"/>
    <w:rsid w:val="001B5EAB"/>
    <w:rsid w:val="001D60E2"/>
    <w:rsid w:val="00217DA1"/>
    <w:rsid w:val="00242999"/>
    <w:rsid w:val="002665CF"/>
    <w:rsid w:val="003732F1"/>
    <w:rsid w:val="003C7B2F"/>
    <w:rsid w:val="00442980"/>
    <w:rsid w:val="004649EF"/>
    <w:rsid w:val="005527C7"/>
    <w:rsid w:val="00706D43"/>
    <w:rsid w:val="00707C64"/>
    <w:rsid w:val="00A57E21"/>
    <w:rsid w:val="00EF0BFD"/>
    <w:rsid w:val="00F64BD4"/>
    <w:rsid w:val="01176EA7"/>
    <w:rsid w:val="01230706"/>
    <w:rsid w:val="012A0C05"/>
    <w:rsid w:val="01344AEF"/>
    <w:rsid w:val="014739FC"/>
    <w:rsid w:val="01A0755C"/>
    <w:rsid w:val="01A5595F"/>
    <w:rsid w:val="01B07342"/>
    <w:rsid w:val="01B8123D"/>
    <w:rsid w:val="01DD5BA5"/>
    <w:rsid w:val="01E11058"/>
    <w:rsid w:val="01EA1F77"/>
    <w:rsid w:val="02127808"/>
    <w:rsid w:val="02174111"/>
    <w:rsid w:val="02186F24"/>
    <w:rsid w:val="021B5C5D"/>
    <w:rsid w:val="02287D46"/>
    <w:rsid w:val="02316881"/>
    <w:rsid w:val="02876081"/>
    <w:rsid w:val="02A45D0F"/>
    <w:rsid w:val="02A53FB4"/>
    <w:rsid w:val="02B12043"/>
    <w:rsid w:val="02B24744"/>
    <w:rsid w:val="02B909E2"/>
    <w:rsid w:val="02BA17D9"/>
    <w:rsid w:val="02C80EA2"/>
    <w:rsid w:val="02D50E36"/>
    <w:rsid w:val="030F67E1"/>
    <w:rsid w:val="031B6A0A"/>
    <w:rsid w:val="032679BB"/>
    <w:rsid w:val="03370D7C"/>
    <w:rsid w:val="034C0EAE"/>
    <w:rsid w:val="035962A0"/>
    <w:rsid w:val="037B04B9"/>
    <w:rsid w:val="037C0F2A"/>
    <w:rsid w:val="03885FFD"/>
    <w:rsid w:val="039E5DF5"/>
    <w:rsid w:val="03AA4340"/>
    <w:rsid w:val="03B61C57"/>
    <w:rsid w:val="03BB4E3C"/>
    <w:rsid w:val="03C07079"/>
    <w:rsid w:val="03ED4C1E"/>
    <w:rsid w:val="03FD066B"/>
    <w:rsid w:val="04121C30"/>
    <w:rsid w:val="041436FC"/>
    <w:rsid w:val="0421792A"/>
    <w:rsid w:val="04507A9B"/>
    <w:rsid w:val="045A35FE"/>
    <w:rsid w:val="045F577C"/>
    <w:rsid w:val="04623D2C"/>
    <w:rsid w:val="04776E42"/>
    <w:rsid w:val="047D2C78"/>
    <w:rsid w:val="047E64C4"/>
    <w:rsid w:val="049514A3"/>
    <w:rsid w:val="0498070A"/>
    <w:rsid w:val="049F1C2F"/>
    <w:rsid w:val="04A46E1B"/>
    <w:rsid w:val="04A94B91"/>
    <w:rsid w:val="04B45F5F"/>
    <w:rsid w:val="04C4197D"/>
    <w:rsid w:val="04C43691"/>
    <w:rsid w:val="04C51DC1"/>
    <w:rsid w:val="04CD2F9C"/>
    <w:rsid w:val="04E627F0"/>
    <w:rsid w:val="04ED5A27"/>
    <w:rsid w:val="04EF5278"/>
    <w:rsid w:val="04F02DC5"/>
    <w:rsid w:val="04F419D9"/>
    <w:rsid w:val="04FE70F7"/>
    <w:rsid w:val="05091FFE"/>
    <w:rsid w:val="051D1D95"/>
    <w:rsid w:val="052768D0"/>
    <w:rsid w:val="052D468E"/>
    <w:rsid w:val="05477D30"/>
    <w:rsid w:val="05537810"/>
    <w:rsid w:val="055A7E4F"/>
    <w:rsid w:val="05653A35"/>
    <w:rsid w:val="057C69A2"/>
    <w:rsid w:val="05953655"/>
    <w:rsid w:val="059D1139"/>
    <w:rsid w:val="05A82973"/>
    <w:rsid w:val="05BB3B33"/>
    <w:rsid w:val="05C06114"/>
    <w:rsid w:val="05D75B08"/>
    <w:rsid w:val="05FE24A7"/>
    <w:rsid w:val="060675F2"/>
    <w:rsid w:val="061A102D"/>
    <w:rsid w:val="061D1791"/>
    <w:rsid w:val="06236A6C"/>
    <w:rsid w:val="064C722F"/>
    <w:rsid w:val="06510ABD"/>
    <w:rsid w:val="06526D78"/>
    <w:rsid w:val="06705188"/>
    <w:rsid w:val="068B548A"/>
    <w:rsid w:val="06A3601C"/>
    <w:rsid w:val="06AB5F91"/>
    <w:rsid w:val="06AD5717"/>
    <w:rsid w:val="06B7388A"/>
    <w:rsid w:val="06CA23D6"/>
    <w:rsid w:val="06DF4171"/>
    <w:rsid w:val="06E07D42"/>
    <w:rsid w:val="06F33339"/>
    <w:rsid w:val="0711413C"/>
    <w:rsid w:val="07255FE1"/>
    <w:rsid w:val="072F672E"/>
    <w:rsid w:val="073C1851"/>
    <w:rsid w:val="07490ACB"/>
    <w:rsid w:val="076318F3"/>
    <w:rsid w:val="076E3F57"/>
    <w:rsid w:val="07701232"/>
    <w:rsid w:val="077534D6"/>
    <w:rsid w:val="0793569D"/>
    <w:rsid w:val="07A121A0"/>
    <w:rsid w:val="07A95C87"/>
    <w:rsid w:val="07C05BE0"/>
    <w:rsid w:val="07E60A66"/>
    <w:rsid w:val="07F92EE5"/>
    <w:rsid w:val="08016C75"/>
    <w:rsid w:val="080A1A5B"/>
    <w:rsid w:val="08242621"/>
    <w:rsid w:val="082E2383"/>
    <w:rsid w:val="083B61F8"/>
    <w:rsid w:val="083D108C"/>
    <w:rsid w:val="086C7502"/>
    <w:rsid w:val="08751217"/>
    <w:rsid w:val="0875364A"/>
    <w:rsid w:val="087868C6"/>
    <w:rsid w:val="08A74E0A"/>
    <w:rsid w:val="08B55669"/>
    <w:rsid w:val="08C85F52"/>
    <w:rsid w:val="08D52A36"/>
    <w:rsid w:val="08E40EEA"/>
    <w:rsid w:val="08FF46F1"/>
    <w:rsid w:val="09007F0E"/>
    <w:rsid w:val="09060DC9"/>
    <w:rsid w:val="09087B13"/>
    <w:rsid w:val="09120EFF"/>
    <w:rsid w:val="09163659"/>
    <w:rsid w:val="091775AC"/>
    <w:rsid w:val="093127EE"/>
    <w:rsid w:val="093379AD"/>
    <w:rsid w:val="097B0BD3"/>
    <w:rsid w:val="097B332E"/>
    <w:rsid w:val="098F72B1"/>
    <w:rsid w:val="09925D72"/>
    <w:rsid w:val="09C941B5"/>
    <w:rsid w:val="09C957F9"/>
    <w:rsid w:val="09DE6647"/>
    <w:rsid w:val="09F00D2C"/>
    <w:rsid w:val="0A2B326F"/>
    <w:rsid w:val="0A3E3256"/>
    <w:rsid w:val="0A425400"/>
    <w:rsid w:val="0A792329"/>
    <w:rsid w:val="0A7B5B9A"/>
    <w:rsid w:val="0A7F2883"/>
    <w:rsid w:val="0A8B578F"/>
    <w:rsid w:val="0A905349"/>
    <w:rsid w:val="0A9D70AB"/>
    <w:rsid w:val="0AC06FBF"/>
    <w:rsid w:val="0ACC16B3"/>
    <w:rsid w:val="0AD84DAB"/>
    <w:rsid w:val="0AF76555"/>
    <w:rsid w:val="0AFF15EB"/>
    <w:rsid w:val="0B016BFE"/>
    <w:rsid w:val="0B201373"/>
    <w:rsid w:val="0B2548EC"/>
    <w:rsid w:val="0B3A7523"/>
    <w:rsid w:val="0B722A92"/>
    <w:rsid w:val="0B7516FD"/>
    <w:rsid w:val="0B856BD0"/>
    <w:rsid w:val="0B922C23"/>
    <w:rsid w:val="0BB429DB"/>
    <w:rsid w:val="0BC35BE0"/>
    <w:rsid w:val="0BC8010A"/>
    <w:rsid w:val="0BEE614E"/>
    <w:rsid w:val="0C255029"/>
    <w:rsid w:val="0C4B17B3"/>
    <w:rsid w:val="0C5E0099"/>
    <w:rsid w:val="0C641109"/>
    <w:rsid w:val="0C890F54"/>
    <w:rsid w:val="0C922A8B"/>
    <w:rsid w:val="0C9A65A9"/>
    <w:rsid w:val="0C9B35B0"/>
    <w:rsid w:val="0CC52DBF"/>
    <w:rsid w:val="0CC62364"/>
    <w:rsid w:val="0CC94669"/>
    <w:rsid w:val="0D102D1E"/>
    <w:rsid w:val="0D206F77"/>
    <w:rsid w:val="0D2F1DD4"/>
    <w:rsid w:val="0D3A7819"/>
    <w:rsid w:val="0D4A7336"/>
    <w:rsid w:val="0D8E08D7"/>
    <w:rsid w:val="0DA32EE9"/>
    <w:rsid w:val="0DBB571B"/>
    <w:rsid w:val="0DCE03FC"/>
    <w:rsid w:val="0DD46882"/>
    <w:rsid w:val="0DED009D"/>
    <w:rsid w:val="0E1033B9"/>
    <w:rsid w:val="0E1D146E"/>
    <w:rsid w:val="0E2D757F"/>
    <w:rsid w:val="0E35591C"/>
    <w:rsid w:val="0E3F5A2B"/>
    <w:rsid w:val="0E4137C3"/>
    <w:rsid w:val="0E593A3C"/>
    <w:rsid w:val="0E681F59"/>
    <w:rsid w:val="0E992704"/>
    <w:rsid w:val="0EC36884"/>
    <w:rsid w:val="0EC87F73"/>
    <w:rsid w:val="0ED06F7F"/>
    <w:rsid w:val="0EEC57C7"/>
    <w:rsid w:val="0F04214E"/>
    <w:rsid w:val="0F18320D"/>
    <w:rsid w:val="0F1C0D9D"/>
    <w:rsid w:val="0F1C1383"/>
    <w:rsid w:val="0F347197"/>
    <w:rsid w:val="0F3C7E03"/>
    <w:rsid w:val="0F42051E"/>
    <w:rsid w:val="0F4E3B2F"/>
    <w:rsid w:val="0F714475"/>
    <w:rsid w:val="0F723465"/>
    <w:rsid w:val="0F84299A"/>
    <w:rsid w:val="0F9F23B4"/>
    <w:rsid w:val="0FA032BB"/>
    <w:rsid w:val="0FAF4C3C"/>
    <w:rsid w:val="0FB70C08"/>
    <w:rsid w:val="0FDE41BD"/>
    <w:rsid w:val="0FE161FD"/>
    <w:rsid w:val="101626F1"/>
    <w:rsid w:val="101B71B7"/>
    <w:rsid w:val="10867ADA"/>
    <w:rsid w:val="109545AB"/>
    <w:rsid w:val="109B09D0"/>
    <w:rsid w:val="10AA3B31"/>
    <w:rsid w:val="10AD4A26"/>
    <w:rsid w:val="10B91883"/>
    <w:rsid w:val="10C212AE"/>
    <w:rsid w:val="10D240A9"/>
    <w:rsid w:val="10DA70BD"/>
    <w:rsid w:val="10F52C85"/>
    <w:rsid w:val="10F6125F"/>
    <w:rsid w:val="10F77A0D"/>
    <w:rsid w:val="110A2DD7"/>
    <w:rsid w:val="111C21A1"/>
    <w:rsid w:val="11287563"/>
    <w:rsid w:val="11511D87"/>
    <w:rsid w:val="1161190E"/>
    <w:rsid w:val="119F61F9"/>
    <w:rsid w:val="11B414D0"/>
    <w:rsid w:val="11B46274"/>
    <w:rsid w:val="11C144E5"/>
    <w:rsid w:val="11F82585"/>
    <w:rsid w:val="11FB707A"/>
    <w:rsid w:val="120A18E3"/>
    <w:rsid w:val="122534BD"/>
    <w:rsid w:val="12362844"/>
    <w:rsid w:val="127E5D19"/>
    <w:rsid w:val="12840C14"/>
    <w:rsid w:val="129F73B9"/>
    <w:rsid w:val="12A538CB"/>
    <w:rsid w:val="12B5470D"/>
    <w:rsid w:val="12B62452"/>
    <w:rsid w:val="12C7551C"/>
    <w:rsid w:val="12E974C9"/>
    <w:rsid w:val="12F00CD7"/>
    <w:rsid w:val="130B3176"/>
    <w:rsid w:val="130E357B"/>
    <w:rsid w:val="132477A2"/>
    <w:rsid w:val="133D2B86"/>
    <w:rsid w:val="133F5679"/>
    <w:rsid w:val="13537B8B"/>
    <w:rsid w:val="1364027B"/>
    <w:rsid w:val="137C04DB"/>
    <w:rsid w:val="138265BF"/>
    <w:rsid w:val="139A091D"/>
    <w:rsid w:val="13A747FB"/>
    <w:rsid w:val="13D76400"/>
    <w:rsid w:val="13E02601"/>
    <w:rsid w:val="13E445C0"/>
    <w:rsid w:val="1412613C"/>
    <w:rsid w:val="14144DDC"/>
    <w:rsid w:val="14181349"/>
    <w:rsid w:val="141B082F"/>
    <w:rsid w:val="14212B06"/>
    <w:rsid w:val="143C4270"/>
    <w:rsid w:val="146A31D5"/>
    <w:rsid w:val="147352B7"/>
    <w:rsid w:val="147C5ADA"/>
    <w:rsid w:val="14B76141"/>
    <w:rsid w:val="14BE1956"/>
    <w:rsid w:val="14C37DDA"/>
    <w:rsid w:val="14C71FF6"/>
    <w:rsid w:val="14DB250E"/>
    <w:rsid w:val="14E366B5"/>
    <w:rsid w:val="15091473"/>
    <w:rsid w:val="152044D4"/>
    <w:rsid w:val="15217C8A"/>
    <w:rsid w:val="15423676"/>
    <w:rsid w:val="1544076B"/>
    <w:rsid w:val="154475F0"/>
    <w:rsid w:val="154F1976"/>
    <w:rsid w:val="15546BA9"/>
    <w:rsid w:val="155D35F7"/>
    <w:rsid w:val="1565160F"/>
    <w:rsid w:val="15661D57"/>
    <w:rsid w:val="15681083"/>
    <w:rsid w:val="1570351B"/>
    <w:rsid w:val="157104CE"/>
    <w:rsid w:val="1572324E"/>
    <w:rsid w:val="157E14B5"/>
    <w:rsid w:val="1592263B"/>
    <w:rsid w:val="15962EC6"/>
    <w:rsid w:val="15BA210D"/>
    <w:rsid w:val="15BC592E"/>
    <w:rsid w:val="15C16393"/>
    <w:rsid w:val="15C530BB"/>
    <w:rsid w:val="15D43611"/>
    <w:rsid w:val="15D87D14"/>
    <w:rsid w:val="15E21CA9"/>
    <w:rsid w:val="15FC705C"/>
    <w:rsid w:val="160E1B24"/>
    <w:rsid w:val="1634241E"/>
    <w:rsid w:val="163B0968"/>
    <w:rsid w:val="16787DEB"/>
    <w:rsid w:val="16855F35"/>
    <w:rsid w:val="16B1175D"/>
    <w:rsid w:val="16BC58EE"/>
    <w:rsid w:val="16C526D9"/>
    <w:rsid w:val="16C86DFC"/>
    <w:rsid w:val="16DB561C"/>
    <w:rsid w:val="17024A5B"/>
    <w:rsid w:val="171755A1"/>
    <w:rsid w:val="1736599B"/>
    <w:rsid w:val="173F62D4"/>
    <w:rsid w:val="174063C3"/>
    <w:rsid w:val="17563BB0"/>
    <w:rsid w:val="176E07DD"/>
    <w:rsid w:val="177F321B"/>
    <w:rsid w:val="178B11D5"/>
    <w:rsid w:val="17AB67C0"/>
    <w:rsid w:val="17C74569"/>
    <w:rsid w:val="17D60551"/>
    <w:rsid w:val="17D73BA1"/>
    <w:rsid w:val="17D75199"/>
    <w:rsid w:val="17DE5D40"/>
    <w:rsid w:val="17EF4983"/>
    <w:rsid w:val="1812143E"/>
    <w:rsid w:val="18132DA4"/>
    <w:rsid w:val="181948FA"/>
    <w:rsid w:val="181E4DA8"/>
    <w:rsid w:val="182D5154"/>
    <w:rsid w:val="183054DA"/>
    <w:rsid w:val="18937640"/>
    <w:rsid w:val="18AA39B9"/>
    <w:rsid w:val="18E4000F"/>
    <w:rsid w:val="18E93163"/>
    <w:rsid w:val="18F3055E"/>
    <w:rsid w:val="190028DB"/>
    <w:rsid w:val="191C0F4F"/>
    <w:rsid w:val="192C725B"/>
    <w:rsid w:val="19344E23"/>
    <w:rsid w:val="19482939"/>
    <w:rsid w:val="19495C0B"/>
    <w:rsid w:val="194B7238"/>
    <w:rsid w:val="194D41AE"/>
    <w:rsid w:val="1963551C"/>
    <w:rsid w:val="196B5AD6"/>
    <w:rsid w:val="196C261C"/>
    <w:rsid w:val="198623B2"/>
    <w:rsid w:val="198941E3"/>
    <w:rsid w:val="19965C03"/>
    <w:rsid w:val="199975FF"/>
    <w:rsid w:val="19D60EA6"/>
    <w:rsid w:val="19E96B1F"/>
    <w:rsid w:val="19F31D94"/>
    <w:rsid w:val="1A1070BF"/>
    <w:rsid w:val="1A174F57"/>
    <w:rsid w:val="1A1D42DB"/>
    <w:rsid w:val="1A232295"/>
    <w:rsid w:val="1A2F3192"/>
    <w:rsid w:val="1A455B30"/>
    <w:rsid w:val="1A4827EB"/>
    <w:rsid w:val="1A707D10"/>
    <w:rsid w:val="1A7B5BBA"/>
    <w:rsid w:val="1A810C02"/>
    <w:rsid w:val="1A92259B"/>
    <w:rsid w:val="1A9B4C6A"/>
    <w:rsid w:val="1AB66796"/>
    <w:rsid w:val="1ABE3B46"/>
    <w:rsid w:val="1AD72A98"/>
    <w:rsid w:val="1B1D694B"/>
    <w:rsid w:val="1B355971"/>
    <w:rsid w:val="1B63033C"/>
    <w:rsid w:val="1B723B89"/>
    <w:rsid w:val="1B8628C7"/>
    <w:rsid w:val="1B8704AD"/>
    <w:rsid w:val="1BAF0E22"/>
    <w:rsid w:val="1BB06D26"/>
    <w:rsid w:val="1BE40619"/>
    <w:rsid w:val="1BE47FB5"/>
    <w:rsid w:val="1BF16219"/>
    <w:rsid w:val="1BF71D02"/>
    <w:rsid w:val="1BFF50AB"/>
    <w:rsid w:val="1C14456A"/>
    <w:rsid w:val="1C15538E"/>
    <w:rsid w:val="1C1C7D3E"/>
    <w:rsid w:val="1C3C3DF6"/>
    <w:rsid w:val="1C4F632E"/>
    <w:rsid w:val="1C772F46"/>
    <w:rsid w:val="1C7764E3"/>
    <w:rsid w:val="1C793803"/>
    <w:rsid w:val="1C87293B"/>
    <w:rsid w:val="1C8C5DC2"/>
    <w:rsid w:val="1CAE4014"/>
    <w:rsid w:val="1CB82E06"/>
    <w:rsid w:val="1CC55263"/>
    <w:rsid w:val="1CDB367D"/>
    <w:rsid w:val="1CEC06A3"/>
    <w:rsid w:val="1D091091"/>
    <w:rsid w:val="1D0C06AF"/>
    <w:rsid w:val="1D271747"/>
    <w:rsid w:val="1D28651C"/>
    <w:rsid w:val="1D383D72"/>
    <w:rsid w:val="1D3F00AD"/>
    <w:rsid w:val="1D462D70"/>
    <w:rsid w:val="1D5150ED"/>
    <w:rsid w:val="1D6A2A56"/>
    <w:rsid w:val="1D735284"/>
    <w:rsid w:val="1D783C8A"/>
    <w:rsid w:val="1D7B5A6B"/>
    <w:rsid w:val="1D9D1658"/>
    <w:rsid w:val="1D9E245C"/>
    <w:rsid w:val="1DB01205"/>
    <w:rsid w:val="1DE5223E"/>
    <w:rsid w:val="1DF52CAE"/>
    <w:rsid w:val="1DFD18A6"/>
    <w:rsid w:val="1E0D4CA1"/>
    <w:rsid w:val="1E104167"/>
    <w:rsid w:val="1E1876FE"/>
    <w:rsid w:val="1E394DA4"/>
    <w:rsid w:val="1E3E7D1F"/>
    <w:rsid w:val="1E425E63"/>
    <w:rsid w:val="1E666221"/>
    <w:rsid w:val="1E891E40"/>
    <w:rsid w:val="1EAA5B9D"/>
    <w:rsid w:val="1EB82871"/>
    <w:rsid w:val="1ECC4790"/>
    <w:rsid w:val="1EF74308"/>
    <w:rsid w:val="1F1162E7"/>
    <w:rsid w:val="1F236691"/>
    <w:rsid w:val="1F3175EF"/>
    <w:rsid w:val="1F5433E2"/>
    <w:rsid w:val="1F6B1EC0"/>
    <w:rsid w:val="1FEE2CFF"/>
    <w:rsid w:val="1FF32E57"/>
    <w:rsid w:val="20015AD8"/>
    <w:rsid w:val="202E146D"/>
    <w:rsid w:val="203C497C"/>
    <w:rsid w:val="203E54FB"/>
    <w:rsid w:val="20495691"/>
    <w:rsid w:val="205345F0"/>
    <w:rsid w:val="2058792D"/>
    <w:rsid w:val="2059342A"/>
    <w:rsid w:val="2064257C"/>
    <w:rsid w:val="2064380A"/>
    <w:rsid w:val="2075524D"/>
    <w:rsid w:val="208E17F6"/>
    <w:rsid w:val="20B46E7A"/>
    <w:rsid w:val="20B9412A"/>
    <w:rsid w:val="20BF1DC9"/>
    <w:rsid w:val="20CD5869"/>
    <w:rsid w:val="212607F9"/>
    <w:rsid w:val="21307484"/>
    <w:rsid w:val="21386799"/>
    <w:rsid w:val="21426BDC"/>
    <w:rsid w:val="214764BC"/>
    <w:rsid w:val="215D4F09"/>
    <w:rsid w:val="21675EB6"/>
    <w:rsid w:val="21687F89"/>
    <w:rsid w:val="21821F16"/>
    <w:rsid w:val="21867F7E"/>
    <w:rsid w:val="219A2BB8"/>
    <w:rsid w:val="21EF13C2"/>
    <w:rsid w:val="2226611B"/>
    <w:rsid w:val="224A1FC9"/>
    <w:rsid w:val="226E7434"/>
    <w:rsid w:val="22723DCD"/>
    <w:rsid w:val="227A5ED1"/>
    <w:rsid w:val="227B6B84"/>
    <w:rsid w:val="22884578"/>
    <w:rsid w:val="228E007B"/>
    <w:rsid w:val="22902871"/>
    <w:rsid w:val="22905BA1"/>
    <w:rsid w:val="22954BCD"/>
    <w:rsid w:val="22A0490D"/>
    <w:rsid w:val="22AD234A"/>
    <w:rsid w:val="22B7757C"/>
    <w:rsid w:val="22CF7E44"/>
    <w:rsid w:val="22EA21D7"/>
    <w:rsid w:val="231643ED"/>
    <w:rsid w:val="23364CF8"/>
    <w:rsid w:val="23A1209E"/>
    <w:rsid w:val="23B54159"/>
    <w:rsid w:val="23B64BCF"/>
    <w:rsid w:val="24075087"/>
    <w:rsid w:val="242F22D5"/>
    <w:rsid w:val="244734F6"/>
    <w:rsid w:val="247B523D"/>
    <w:rsid w:val="248367C1"/>
    <w:rsid w:val="2487318F"/>
    <w:rsid w:val="24977834"/>
    <w:rsid w:val="24AC3A97"/>
    <w:rsid w:val="24BE0360"/>
    <w:rsid w:val="24C5685A"/>
    <w:rsid w:val="24D65CEE"/>
    <w:rsid w:val="24EA46CE"/>
    <w:rsid w:val="24EE2490"/>
    <w:rsid w:val="250E48F8"/>
    <w:rsid w:val="25251A93"/>
    <w:rsid w:val="252542B8"/>
    <w:rsid w:val="25271EAE"/>
    <w:rsid w:val="252C7E0F"/>
    <w:rsid w:val="252F44D5"/>
    <w:rsid w:val="253D7DA4"/>
    <w:rsid w:val="254123F4"/>
    <w:rsid w:val="25464299"/>
    <w:rsid w:val="255D4B37"/>
    <w:rsid w:val="25672799"/>
    <w:rsid w:val="256F2E37"/>
    <w:rsid w:val="257563C8"/>
    <w:rsid w:val="257B38AF"/>
    <w:rsid w:val="25845297"/>
    <w:rsid w:val="258750C7"/>
    <w:rsid w:val="25916EFD"/>
    <w:rsid w:val="25A775CE"/>
    <w:rsid w:val="25CD32E6"/>
    <w:rsid w:val="25EC3BAF"/>
    <w:rsid w:val="26001804"/>
    <w:rsid w:val="260D6D7B"/>
    <w:rsid w:val="26173C3B"/>
    <w:rsid w:val="26243232"/>
    <w:rsid w:val="262A13AC"/>
    <w:rsid w:val="263B6F5E"/>
    <w:rsid w:val="263F0A09"/>
    <w:rsid w:val="265A633B"/>
    <w:rsid w:val="266238E4"/>
    <w:rsid w:val="267B0F15"/>
    <w:rsid w:val="267E6349"/>
    <w:rsid w:val="26815A79"/>
    <w:rsid w:val="26932BF8"/>
    <w:rsid w:val="269F7B65"/>
    <w:rsid w:val="26AB4FFC"/>
    <w:rsid w:val="26C95510"/>
    <w:rsid w:val="26CE1E21"/>
    <w:rsid w:val="26D65E7F"/>
    <w:rsid w:val="26E071D1"/>
    <w:rsid w:val="26E25A2F"/>
    <w:rsid w:val="26FD237A"/>
    <w:rsid w:val="27165559"/>
    <w:rsid w:val="27A21465"/>
    <w:rsid w:val="27C3144C"/>
    <w:rsid w:val="27E56E43"/>
    <w:rsid w:val="27F16C3A"/>
    <w:rsid w:val="281613F1"/>
    <w:rsid w:val="283E2DCF"/>
    <w:rsid w:val="284907DB"/>
    <w:rsid w:val="28512340"/>
    <w:rsid w:val="285A0DBE"/>
    <w:rsid w:val="285C03AE"/>
    <w:rsid w:val="286550D1"/>
    <w:rsid w:val="28660128"/>
    <w:rsid w:val="2869077B"/>
    <w:rsid w:val="286C1729"/>
    <w:rsid w:val="286F1B2F"/>
    <w:rsid w:val="289624D3"/>
    <w:rsid w:val="28A67858"/>
    <w:rsid w:val="28AB3E79"/>
    <w:rsid w:val="28B86527"/>
    <w:rsid w:val="28DB3F4D"/>
    <w:rsid w:val="28DF144C"/>
    <w:rsid w:val="28E4139D"/>
    <w:rsid w:val="294A3DB7"/>
    <w:rsid w:val="295D067F"/>
    <w:rsid w:val="295D2F92"/>
    <w:rsid w:val="29713305"/>
    <w:rsid w:val="29725DB7"/>
    <w:rsid w:val="297D72D1"/>
    <w:rsid w:val="298149A3"/>
    <w:rsid w:val="298A0668"/>
    <w:rsid w:val="2993132A"/>
    <w:rsid w:val="29A62831"/>
    <w:rsid w:val="29CE3055"/>
    <w:rsid w:val="29D33584"/>
    <w:rsid w:val="29E87273"/>
    <w:rsid w:val="29F266ED"/>
    <w:rsid w:val="29FB3F6C"/>
    <w:rsid w:val="29FC0855"/>
    <w:rsid w:val="2A0079FB"/>
    <w:rsid w:val="2A3706D1"/>
    <w:rsid w:val="2A780B83"/>
    <w:rsid w:val="2A8E16F0"/>
    <w:rsid w:val="2AD65A3E"/>
    <w:rsid w:val="2AEE0693"/>
    <w:rsid w:val="2B0E3867"/>
    <w:rsid w:val="2B4534A4"/>
    <w:rsid w:val="2B590B03"/>
    <w:rsid w:val="2B6A66C0"/>
    <w:rsid w:val="2BA32F1F"/>
    <w:rsid w:val="2BAD0AE3"/>
    <w:rsid w:val="2BB073A3"/>
    <w:rsid w:val="2BB17574"/>
    <w:rsid w:val="2BB36518"/>
    <w:rsid w:val="2BBA3CDA"/>
    <w:rsid w:val="2BC05DD3"/>
    <w:rsid w:val="2BC27FAD"/>
    <w:rsid w:val="2BCA3387"/>
    <w:rsid w:val="2C16288D"/>
    <w:rsid w:val="2C453A79"/>
    <w:rsid w:val="2C910DD7"/>
    <w:rsid w:val="2CB770EC"/>
    <w:rsid w:val="2CFC30B5"/>
    <w:rsid w:val="2D0F1314"/>
    <w:rsid w:val="2D2927B9"/>
    <w:rsid w:val="2D344657"/>
    <w:rsid w:val="2D3E68F9"/>
    <w:rsid w:val="2D5D5FC7"/>
    <w:rsid w:val="2D714D03"/>
    <w:rsid w:val="2D7E5C67"/>
    <w:rsid w:val="2D8153B4"/>
    <w:rsid w:val="2D9B3717"/>
    <w:rsid w:val="2DBC30CC"/>
    <w:rsid w:val="2DCD07AA"/>
    <w:rsid w:val="2DDC3C43"/>
    <w:rsid w:val="2DDF4012"/>
    <w:rsid w:val="2E0E7F60"/>
    <w:rsid w:val="2E423617"/>
    <w:rsid w:val="2E4F3FED"/>
    <w:rsid w:val="2E6574B9"/>
    <w:rsid w:val="2E7B5DEC"/>
    <w:rsid w:val="2E830D9D"/>
    <w:rsid w:val="2E894ADF"/>
    <w:rsid w:val="2E8C0930"/>
    <w:rsid w:val="2E977A94"/>
    <w:rsid w:val="2E9F2ADE"/>
    <w:rsid w:val="2EDC182C"/>
    <w:rsid w:val="2EEB426E"/>
    <w:rsid w:val="2EF74E64"/>
    <w:rsid w:val="2F003B4D"/>
    <w:rsid w:val="2F075BDF"/>
    <w:rsid w:val="2F084598"/>
    <w:rsid w:val="2F0B6AD7"/>
    <w:rsid w:val="2F10333C"/>
    <w:rsid w:val="2F1126B7"/>
    <w:rsid w:val="2F1C3D13"/>
    <w:rsid w:val="2F212ECE"/>
    <w:rsid w:val="2F326FC9"/>
    <w:rsid w:val="2F3C0A85"/>
    <w:rsid w:val="2F4142E9"/>
    <w:rsid w:val="2F487A27"/>
    <w:rsid w:val="2FC46F3E"/>
    <w:rsid w:val="2FD42D44"/>
    <w:rsid w:val="2FD6401E"/>
    <w:rsid w:val="2FE254E2"/>
    <w:rsid w:val="2FEB7A18"/>
    <w:rsid w:val="30066128"/>
    <w:rsid w:val="300B524A"/>
    <w:rsid w:val="303253C1"/>
    <w:rsid w:val="30422F89"/>
    <w:rsid w:val="30531093"/>
    <w:rsid w:val="3062223F"/>
    <w:rsid w:val="306428C3"/>
    <w:rsid w:val="308241D3"/>
    <w:rsid w:val="309A6EED"/>
    <w:rsid w:val="30C77787"/>
    <w:rsid w:val="30CE240F"/>
    <w:rsid w:val="30CF378A"/>
    <w:rsid w:val="30F5696C"/>
    <w:rsid w:val="30F80D05"/>
    <w:rsid w:val="310C1267"/>
    <w:rsid w:val="31184345"/>
    <w:rsid w:val="311E1B3B"/>
    <w:rsid w:val="312D0499"/>
    <w:rsid w:val="31357900"/>
    <w:rsid w:val="314F1B0E"/>
    <w:rsid w:val="316B45D7"/>
    <w:rsid w:val="316E4F98"/>
    <w:rsid w:val="31704EEA"/>
    <w:rsid w:val="317B1D14"/>
    <w:rsid w:val="319A526C"/>
    <w:rsid w:val="31D314AE"/>
    <w:rsid w:val="31E35992"/>
    <w:rsid w:val="31E77DCC"/>
    <w:rsid w:val="31EA3BDC"/>
    <w:rsid w:val="31EC4DC5"/>
    <w:rsid w:val="31EE5BA4"/>
    <w:rsid w:val="31F5756A"/>
    <w:rsid w:val="31F71FF1"/>
    <w:rsid w:val="31F816D2"/>
    <w:rsid w:val="32202A08"/>
    <w:rsid w:val="322511AF"/>
    <w:rsid w:val="32307855"/>
    <w:rsid w:val="323159E7"/>
    <w:rsid w:val="32431301"/>
    <w:rsid w:val="32655D46"/>
    <w:rsid w:val="3265784A"/>
    <w:rsid w:val="329E1121"/>
    <w:rsid w:val="32BA383B"/>
    <w:rsid w:val="32D25CAF"/>
    <w:rsid w:val="33033831"/>
    <w:rsid w:val="33087CC6"/>
    <w:rsid w:val="330C1EBE"/>
    <w:rsid w:val="331D71E4"/>
    <w:rsid w:val="33411CF0"/>
    <w:rsid w:val="334A387F"/>
    <w:rsid w:val="334C7695"/>
    <w:rsid w:val="33510344"/>
    <w:rsid w:val="338F5540"/>
    <w:rsid w:val="339537AC"/>
    <w:rsid w:val="33A74279"/>
    <w:rsid w:val="33A83E90"/>
    <w:rsid w:val="33B36BCD"/>
    <w:rsid w:val="33B61105"/>
    <w:rsid w:val="33BD1555"/>
    <w:rsid w:val="33C53E26"/>
    <w:rsid w:val="33C7197D"/>
    <w:rsid w:val="33E91FFF"/>
    <w:rsid w:val="33F32FCD"/>
    <w:rsid w:val="340A0B8C"/>
    <w:rsid w:val="3418522A"/>
    <w:rsid w:val="34204EEF"/>
    <w:rsid w:val="34212284"/>
    <w:rsid w:val="3427221E"/>
    <w:rsid w:val="34427416"/>
    <w:rsid w:val="345D094A"/>
    <w:rsid w:val="349207D3"/>
    <w:rsid w:val="349540B6"/>
    <w:rsid w:val="349710F6"/>
    <w:rsid w:val="349E2E5B"/>
    <w:rsid w:val="34A5681F"/>
    <w:rsid w:val="34AA1789"/>
    <w:rsid w:val="34B225C1"/>
    <w:rsid w:val="34D072B1"/>
    <w:rsid w:val="351150BE"/>
    <w:rsid w:val="352B492D"/>
    <w:rsid w:val="35363AAE"/>
    <w:rsid w:val="35392314"/>
    <w:rsid w:val="356878A7"/>
    <w:rsid w:val="356E2F32"/>
    <w:rsid w:val="35775907"/>
    <w:rsid w:val="35777543"/>
    <w:rsid w:val="35780927"/>
    <w:rsid w:val="35784B3E"/>
    <w:rsid w:val="35832966"/>
    <w:rsid w:val="35840336"/>
    <w:rsid w:val="35907034"/>
    <w:rsid w:val="35977E8B"/>
    <w:rsid w:val="359E3091"/>
    <w:rsid w:val="35C313D6"/>
    <w:rsid w:val="35CA19E5"/>
    <w:rsid w:val="35D2510C"/>
    <w:rsid w:val="35DD4AFB"/>
    <w:rsid w:val="35F26768"/>
    <w:rsid w:val="35FF660E"/>
    <w:rsid w:val="360F081D"/>
    <w:rsid w:val="361C6088"/>
    <w:rsid w:val="361F2AAC"/>
    <w:rsid w:val="36282030"/>
    <w:rsid w:val="36431340"/>
    <w:rsid w:val="36475A8F"/>
    <w:rsid w:val="365D46B7"/>
    <w:rsid w:val="36774A3F"/>
    <w:rsid w:val="368D5F98"/>
    <w:rsid w:val="369C68FD"/>
    <w:rsid w:val="369E164B"/>
    <w:rsid w:val="36A37B14"/>
    <w:rsid w:val="36D57FCF"/>
    <w:rsid w:val="36E25A52"/>
    <w:rsid w:val="371C084E"/>
    <w:rsid w:val="37362B47"/>
    <w:rsid w:val="37381EF6"/>
    <w:rsid w:val="373D7521"/>
    <w:rsid w:val="373E0801"/>
    <w:rsid w:val="378560CB"/>
    <w:rsid w:val="37B032DE"/>
    <w:rsid w:val="37B4685F"/>
    <w:rsid w:val="37C04A57"/>
    <w:rsid w:val="37E84DFF"/>
    <w:rsid w:val="37F62120"/>
    <w:rsid w:val="37FA6911"/>
    <w:rsid w:val="38135EC6"/>
    <w:rsid w:val="38211DDE"/>
    <w:rsid w:val="385208EA"/>
    <w:rsid w:val="3853767A"/>
    <w:rsid w:val="38730AD4"/>
    <w:rsid w:val="387C1F15"/>
    <w:rsid w:val="387E23A5"/>
    <w:rsid w:val="38A431A6"/>
    <w:rsid w:val="38C20E7C"/>
    <w:rsid w:val="38E77C59"/>
    <w:rsid w:val="38EE4F9D"/>
    <w:rsid w:val="38F931FB"/>
    <w:rsid w:val="390151E9"/>
    <w:rsid w:val="39091AC4"/>
    <w:rsid w:val="390B2B82"/>
    <w:rsid w:val="392156B4"/>
    <w:rsid w:val="392214F7"/>
    <w:rsid w:val="39375B29"/>
    <w:rsid w:val="393F39E4"/>
    <w:rsid w:val="394025DA"/>
    <w:rsid w:val="394157B2"/>
    <w:rsid w:val="39644E47"/>
    <w:rsid w:val="399A5B23"/>
    <w:rsid w:val="39AB31C3"/>
    <w:rsid w:val="39AD5334"/>
    <w:rsid w:val="39AE7B40"/>
    <w:rsid w:val="39C66E31"/>
    <w:rsid w:val="39D65AA3"/>
    <w:rsid w:val="39E954EA"/>
    <w:rsid w:val="39F464C6"/>
    <w:rsid w:val="3A0B7ACA"/>
    <w:rsid w:val="3A1C3DBC"/>
    <w:rsid w:val="3A3B0024"/>
    <w:rsid w:val="3A4110F9"/>
    <w:rsid w:val="3A4C38A6"/>
    <w:rsid w:val="3A5C4FAD"/>
    <w:rsid w:val="3A7A7392"/>
    <w:rsid w:val="3A836AD6"/>
    <w:rsid w:val="3AAE7F7C"/>
    <w:rsid w:val="3B063B2E"/>
    <w:rsid w:val="3B085474"/>
    <w:rsid w:val="3B0B13D9"/>
    <w:rsid w:val="3B162000"/>
    <w:rsid w:val="3B1E2DCD"/>
    <w:rsid w:val="3B3C2B88"/>
    <w:rsid w:val="3B4503BC"/>
    <w:rsid w:val="3B4B3C43"/>
    <w:rsid w:val="3B532FE1"/>
    <w:rsid w:val="3B587431"/>
    <w:rsid w:val="3B8F25FB"/>
    <w:rsid w:val="3BCD25FD"/>
    <w:rsid w:val="3BDA18B3"/>
    <w:rsid w:val="3BDD5986"/>
    <w:rsid w:val="3BED0A1D"/>
    <w:rsid w:val="3BF6481D"/>
    <w:rsid w:val="3BFD7F5B"/>
    <w:rsid w:val="3BFE3A55"/>
    <w:rsid w:val="3C0C67E2"/>
    <w:rsid w:val="3C6F2EB9"/>
    <w:rsid w:val="3C772EAD"/>
    <w:rsid w:val="3C7979FD"/>
    <w:rsid w:val="3CA352E1"/>
    <w:rsid w:val="3CB83B18"/>
    <w:rsid w:val="3CBD668C"/>
    <w:rsid w:val="3CC415C9"/>
    <w:rsid w:val="3CE92BB1"/>
    <w:rsid w:val="3CFE5E36"/>
    <w:rsid w:val="3D050D1F"/>
    <w:rsid w:val="3D2E0C90"/>
    <w:rsid w:val="3D3435D6"/>
    <w:rsid w:val="3D402D06"/>
    <w:rsid w:val="3D441278"/>
    <w:rsid w:val="3D455595"/>
    <w:rsid w:val="3D462B2C"/>
    <w:rsid w:val="3D64623C"/>
    <w:rsid w:val="3D8A224F"/>
    <w:rsid w:val="3D9A6391"/>
    <w:rsid w:val="3DA15077"/>
    <w:rsid w:val="3DCA2D5B"/>
    <w:rsid w:val="3DCA7A36"/>
    <w:rsid w:val="3DE72FF2"/>
    <w:rsid w:val="3E21570C"/>
    <w:rsid w:val="3E665DDD"/>
    <w:rsid w:val="3E6D0BC9"/>
    <w:rsid w:val="3E75074C"/>
    <w:rsid w:val="3E965CDD"/>
    <w:rsid w:val="3EAA1631"/>
    <w:rsid w:val="3EB163FA"/>
    <w:rsid w:val="3EB22D81"/>
    <w:rsid w:val="3EB33964"/>
    <w:rsid w:val="3EDA74F5"/>
    <w:rsid w:val="3EDC1BE7"/>
    <w:rsid w:val="3EF8751C"/>
    <w:rsid w:val="3EFC59FF"/>
    <w:rsid w:val="3EFE4A13"/>
    <w:rsid w:val="3F1436F8"/>
    <w:rsid w:val="3F192560"/>
    <w:rsid w:val="3F267065"/>
    <w:rsid w:val="3F2D4C08"/>
    <w:rsid w:val="3F3E0F07"/>
    <w:rsid w:val="3F426C49"/>
    <w:rsid w:val="3F427E3B"/>
    <w:rsid w:val="3F5320C3"/>
    <w:rsid w:val="3F586787"/>
    <w:rsid w:val="3F830133"/>
    <w:rsid w:val="3FC35E18"/>
    <w:rsid w:val="3FC74297"/>
    <w:rsid w:val="3FE11885"/>
    <w:rsid w:val="3FFF3FBF"/>
    <w:rsid w:val="408A64FE"/>
    <w:rsid w:val="408A6F17"/>
    <w:rsid w:val="40A91C5F"/>
    <w:rsid w:val="40AD589F"/>
    <w:rsid w:val="40BE14C5"/>
    <w:rsid w:val="40BF44F8"/>
    <w:rsid w:val="40BF758C"/>
    <w:rsid w:val="40C919A0"/>
    <w:rsid w:val="40E94DB4"/>
    <w:rsid w:val="414542FE"/>
    <w:rsid w:val="4152550A"/>
    <w:rsid w:val="415C6B6A"/>
    <w:rsid w:val="416C05F2"/>
    <w:rsid w:val="416E1E6B"/>
    <w:rsid w:val="4189292F"/>
    <w:rsid w:val="41A079A4"/>
    <w:rsid w:val="41DC0D8F"/>
    <w:rsid w:val="41F67F4F"/>
    <w:rsid w:val="41F778A0"/>
    <w:rsid w:val="41FB7D0C"/>
    <w:rsid w:val="420079F1"/>
    <w:rsid w:val="420B7E81"/>
    <w:rsid w:val="42213146"/>
    <w:rsid w:val="42217297"/>
    <w:rsid w:val="422E6074"/>
    <w:rsid w:val="423D2EDE"/>
    <w:rsid w:val="424A1E3C"/>
    <w:rsid w:val="42781F9F"/>
    <w:rsid w:val="427D7BEA"/>
    <w:rsid w:val="428226B6"/>
    <w:rsid w:val="428519E5"/>
    <w:rsid w:val="42913C80"/>
    <w:rsid w:val="429571DC"/>
    <w:rsid w:val="42A00614"/>
    <w:rsid w:val="42C020A7"/>
    <w:rsid w:val="42CA415D"/>
    <w:rsid w:val="42CD4BE6"/>
    <w:rsid w:val="42D8022C"/>
    <w:rsid w:val="42E11DC3"/>
    <w:rsid w:val="42F47F28"/>
    <w:rsid w:val="42F55A92"/>
    <w:rsid w:val="43017B2E"/>
    <w:rsid w:val="431165DE"/>
    <w:rsid w:val="43256D15"/>
    <w:rsid w:val="432D04DC"/>
    <w:rsid w:val="43322E39"/>
    <w:rsid w:val="4337507E"/>
    <w:rsid w:val="4347538C"/>
    <w:rsid w:val="435027A9"/>
    <w:rsid w:val="43543B64"/>
    <w:rsid w:val="437B6238"/>
    <w:rsid w:val="437D2DDF"/>
    <w:rsid w:val="43B00C82"/>
    <w:rsid w:val="43B917BD"/>
    <w:rsid w:val="43C572D9"/>
    <w:rsid w:val="43CE3BCD"/>
    <w:rsid w:val="43DD16CA"/>
    <w:rsid w:val="43FC087F"/>
    <w:rsid w:val="440E7397"/>
    <w:rsid w:val="44316CE9"/>
    <w:rsid w:val="44394475"/>
    <w:rsid w:val="443C6856"/>
    <w:rsid w:val="445D7599"/>
    <w:rsid w:val="44667C22"/>
    <w:rsid w:val="448E6890"/>
    <w:rsid w:val="44A0596B"/>
    <w:rsid w:val="44A47D74"/>
    <w:rsid w:val="44AF4AF2"/>
    <w:rsid w:val="44C563E5"/>
    <w:rsid w:val="44CC4F3C"/>
    <w:rsid w:val="44EB27A3"/>
    <w:rsid w:val="44F80E97"/>
    <w:rsid w:val="451B21FF"/>
    <w:rsid w:val="451C5ADE"/>
    <w:rsid w:val="451F0E59"/>
    <w:rsid w:val="453243AA"/>
    <w:rsid w:val="45423D61"/>
    <w:rsid w:val="454A73BF"/>
    <w:rsid w:val="45607818"/>
    <w:rsid w:val="45723793"/>
    <w:rsid w:val="45756F37"/>
    <w:rsid w:val="45957FBC"/>
    <w:rsid w:val="45B1473B"/>
    <w:rsid w:val="45BD37A8"/>
    <w:rsid w:val="45C049AC"/>
    <w:rsid w:val="45E01149"/>
    <w:rsid w:val="45E21360"/>
    <w:rsid w:val="45F253FE"/>
    <w:rsid w:val="46543203"/>
    <w:rsid w:val="46551869"/>
    <w:rsid w:val="46610626"/>
    <w:rsid w:val="46627092"/>
    <w:rsid w:val="4665645C"/>
    <w:rsid w:val="466D5390"/>
    <w:rsid w:val="46861DE5"/>
    <w:rsid w:val="46896A18"/>
    <w:rsid w:val="46957E8A"/>
    <w:rsid w:val="46BE4D0D"/>
    <w:rsid w:val="46D44778"/>
    <w:rsid w:val="46E81FC5"/>
    <w:rsid w:val="46EF52BC"/>
    <w:rsid w:val="46FB7141"/>
    <w:rsid w:val="4703323F"/>
    <w:rsid w:val="47293A09"/>
    <w:rsid w:val="4741705B"/>
    <w:rsid w:val="47446B17"/>
    <w:rsid w:val="474E0214"/>
    <w:rsid w:val="47600E10"/>
    <w:rsid w:val="47690E95"/>
    <w:rsid w:val="476B5A88"/>
    <w:rsid w:val="479117B9"/>
    <w:rsid w:val="479E423E"/>
    <w:rsid w:val="47B468D7"/>
    <w:rsid w:val="47BC567F"/>
    <w:rsid w:val="48040FD2"/>
    <w:rsid w:val="481264C1"/>
    <w:rsid w:val="481629C6"/>
    <w:rsid w:val="481E7DCC"/>
    <w:rsid w:val="482B2FAB"/>
    <w:rsid w:val="4832114F"/>
    <w:rsid w:val="483740DF"/>
    <w:rsid w:val="483D09A0"/>
    <w:rsid w:val="483F6ABC"/>
    <w:rsid w:val="4869655F"/>
    <w:rsid w:val="4873103D"/>
    <w:rsid w:val="48A50BF1"/>
    <w:rsid w:val="48AB790D"/>
    <w:rsid w:val="48CB2F95"/>
    <w:rsid w:val="48D4480B"/>
    <w:rsid w:val="49090517"/>
    <w:rsid w:val="490B5F77"/>
    <w:rsid w:val="491B5091"/>
    <w:rsid w:val="49445D88"/>
    <w:rsid w:val="494C445A"/>
    <w:rsid w:val="495D51CF"/>
    <w:rsid w:val="49696CA1"/>
    <w:rsid w:val="498A4E87"/>
    <w:rsid w:val="498D4296"/>
    <w:rsid w:val="499A2314"/>
    <w:rsid w:val="49A62FA7"/>
    <w:rsid w:val="49AD7AE5"/>
    <w:rsid w:val="49B071E1"/>
    <w:rsid w:val="49B841EF"/>
    <w:rsid w:val="49BD3E7A"/>
    <w:rsid w:val="49D171AA"/>
    <w:rsid w:val="49EA0F7A"/>
    <w:rsid w:val="49F746DC"/>
    <w:rsid w:val="49FB420A"/>
    <w:rsid w:val="49FF098F"/>
    <w:rsid w:val="4A084AE8"/>
    <w:rsid w:val="4A272B75"/>
    <w:rsid w:val="4A2D4B44"/>
    <w:rsid w:val="4A340FE2"/>
    <w:rsid w:val="4A587DE7"/>
    <w:rsid w:val="4A844650"/>
    <w:rsid w:val="4AA90BB2"/>
    <w:rsid w:val="4AAF235E"/>
    <w:rsid w:val="4ABD64DF"/>
    <w:rsid w:val="4AC6791D"/>
    <w:rsid w:val="4AE95015"/>
    <w:rsid w:val="4AF11413"/>
    <w:rsid w:val="4AF8077D"/>
    <w:rsid w:val="4B16274A"/>
    <w:rsid w:val="4B1F233A"/>
    <w:rsid w:val="4B2E0B7C"/>
    <w:rsid w:val="4B465AF5"/>
    <w:rsid w:val="4B623311"/>
    <w:rsid w:val="4B871FF9"/>
    <w:rsid w:val="4B9F0425"/>
    <w:rsid w:val="4BAD4A10"/>
    <w:rsid w:val="4BB0189B"/>
    <w:rsid w:val="4BBB0C90"/>
    <w:rsid w:val="4BBB6A3D"/>
    <w:rsid w:val="4BCD5BB1"/>
    <w:rsid w:val="4BDF61C7"/>
    <w:rsid w:val="4BE82E6D"/>
    <w:rsid w:val="4BF05370"/>
    <w:rsid w:val="4BFD6695"/>
    <w:rsid w:val="4C2041BA"/>
    <w:rsid w:val="4C277FC3"/>
    <w:rsid w:val="4C807DC5"/>
    <w:rsid w:val="4C8922B9"/>
    <w:rsid w:val="4C9539AF"/>
    <w:rsid w:val="4CB65C6C"/>
    <w:rsid w:val="4CCE2F2A"/>
    <w:rsid w:val="4CD10999"/>
    <w:rsid w:val="4CDA60E2"/>
    <w:rsid w:val="4CEA056B"/>
    <w:rsid w:val="4CED02FB"/>
    <w:rsid w:val="4D320F9A"/>
    <w:rsid w:val="4D3C0BE1"/>
    <w:rsid w:val="4D3E0816"/>
    <w:rsid w:val="4D4A3302"/>
    <w:rsid w:val="4D506EB9"/>
    <w:rsid w:val="4D87409D"/>
    <w:rsid w:val="4D875698"/>
    <w:rsid w:val="4D893224"/>
    <w:rsid w:val="4DB8403F"/>
    <w:rsid w:val="4DC95A83"/>
    <w:rsid w:val="4DD01BEF"/>
    <w:rsid w:val="4DE2215D"/>
    <w:rsid w:val="4DE675BC"/>
    <w:rsid w:val="4E047438"/>
    <w:rsid w:val="4E30416D"/>
    <w:rsid w:val="4E314E09"/>
    <w:rsid w:val="4E3F5641"/>
    <w:rsid w:val="4E443EAA"/>
    <w:rsid w:val="4E550B9B"/>
    <w:rsid w:val="4E811E01"/>
    <w:rsid w:val="4E83097E"/>
    <w:rsid w:val="4E997DC1"/>
    <w:rsid w:val="4E9E2276"/>
    <w:rsid w:val="4EA93408"/>
    <w:rsid w:val="4EAE460F"/>
    <w:rsid w:val="4EEE1290"/>
    <w:rsid w:val="4F0C52E3"/>
    <w:rsid w:val="4F0E1E11"/>
    <w:rsid w:val="4F0E5328"/>
    <w:rsid w:val="4F137D26"/>
    <w:rsid w:val="4F296B54"/>
    <w:rsid w:val="4F4B0D71"/>
    <w:rsid w:val="4F815D1C"/>
    <w:rsid w:val="4F8D5515"/>
    <w:rsid w:val="4FB22B35"/>
    <w:rsid w:val="4FB81BFC"/>
    <w:rsid w:val="4FBD7B05"/>
    <w:rsid w:val="4FCD580D"/>
    <w:rsid w:val="4FF1732D"/>
    <w:rsid w:val="5000234F"/>
    <w:rsid w:val="50133623"/>
    <w:rsid w:val="503C5415"/>
    <w:rsid w:val="50680675"/>
    <w:rsid w:val="506F004E"/>
    <w:rsid w:val="507661AA"/>
    <w:rsid w:val="508002C1"/>
    <w:rsid w:val="508F0010"/>
    <w:rsid w:val="50AA5997"/>
    <w:rsid w:val="50B8571F"/>
    <w:rsid w:val="50C04553"/>
    <w:rsid w:val="50DE5F8A"/>
    <w:rsid w:val="50E13A13"/>
    <w:rsid w:val="50EE5683"/>
    <w:rsid w:val="50FD4D3F"/>
    <w:rsid w:val="513508C9"/>
    <w:rsid w:val="51376A8A"/>
    <w:rsid w:val="51395AE7"/>
    <w:rsid w:val="51472A49"/>
    <w:rsid w:val="516F408A"/>
    <w:rsid w:val="517F73FA"/>
    <w:rsid w:val="518156EC"/>
    <w:rsid w:val="519C03AC"/>
    <w:rsid w:val="51AD5EBB"/>
    <w:rsid w:val="51DC3273"/>
    <w:rsid w:val="51E74803"/>
    <w:rsid w:val="51F80531"/>
    <w:rsid w:val="5205042A"/>
    <w:rsid w:val="520E1C7C"/>
    <w:rsid w:val="520E3559"/>
    <w:rsid w:val="522E26FB"/>
    <w:rsid w:val="523B7298"/>
    <w:rsid w:val="52436C94"/>
    <w:rsid w:val="52662AB6"/>
    <w:rsid w:val="526B304B"/>
    <w:rsid w:val="52787747"/>
    <w:rsid w:val="528A0802"/>
    <w:rsid w:val="52A42DB8"/>
    <w:rsid w:val="52AE76AC"/>
    <w:rsid w:val="52B31D1F"/>
    <w:rsid w:val="52BD1371"/>
    <w:rsid w:val="52C34939"/>
    <w:rsid w:val="52DA14ED"/>
    <w:rsid w:val="52E8797D"/>
    <w:rsid w:val="52EA2D07"/>
    <w:rsid w:val="52FB7024"/>
    <w:rsid w:val="53085931"/>
    <w:rsid w:val="530C6804"/>
    <w:rsid w:val="531F5C97"/>
    <w:rsid w:val="53206F2B"/>
    <w:rsid w:val="53414F63"/>
    <w:rsid w:val="5344421B"/>
    <w:rsid w:val="534E0215"/>
    <w:rsid w:val="538F143C"/>
    <w:rsid w:val="53AD3625"/>
    <w:rsid w:val="53C12CBB"/>
    <w:rsid w:val="53D52606"/>
    <w:rsid w:val="53D57548"/>
    <w:rsid w:val="53E12865"/>
    <w:rsid w:val="53EC5A6C"/>
    <w:rsid w:val="5410757C"/>
    <w:rsid w:val="541A666B"/>
    <w:rsid w:val="54364532"/>
    <w:rsid w:val="54404417"/>
    <w:rsid w:val="54653722"/>
    <w:rsid w:val="54711B56"/>
    <w:rsid w:val="54712A63"/>
    <w:rsid w:val="54A70AF4"/>
    <w:rsid w:val="54AB59D3"/>
    <w:rsid w:val="54D230AE"/>
    <w:rsid w:val="54F80351"/>
    <w:rsid w:val="54FE6C97"/>
    <w:rsid w:val="550D183F"/>
    <w:rsid w:val="551F7667"/>
    <w:rsid w:val="552C3D47"/>
    <w:rsid w:val="55577A62"/>
    <w:rsid w:val="556604FE"/>
    <w:rsid w:val="55672B25"/>
    <w:rsid w:val="557836C8"/>
    <w:rsid w:val="557927E4"/>
    <w:rsid w:val="558571EB"/>
    <w:rsid w:val="55911187"/>
    <w:rsid w:val="55954EFD"/>
    <w:rsid w:val="55E01389"/>
    <w:rsid w:val="55E04D7B"/>
    <w:rsid w:val="55E30851"/>
    <w:rsid w:val="55FA7DAC"/>
    <w:rsid w:val="56042211"/>
    <w:rsid w:val="56083C2A"/>
    <w:rsid w:val="560F07B8"/>
    <w:rsid w:val="56180F64"/>
    <w:rsid w:val="561C6DED"/>
    <w:rsid w:val="56260930"/>
    <w:rsid w:val="56353D7A"/>
    <w:rsid w:val="56550A64"/>
    <w:rsid w:val="565D4097"/>
    <w:rsid w:val="56635746"/>
    <w:rsid w:val="56715F83"/>
    <w:rsid w:val="567B6B66"/>
    <w:rsid w:val="567C2D4A"/>
    <w:rsid w:val="5681730C"/>
    <w:rsid w:val="568308AA"/>
    <w:rsid w:val="5686451F"/>
    <w:rsid w:val="569A3568"/>
    <w:rsid w:val="569A62D7"/>
    <w:rsid w:val="56A409C0"/>
    <w:rsid w:val="56A66131"/>
    <w:rsid w:val="56AA0BEC"/>
    <w:rsid w:val="56AE220D"/>
    <w:rsid w:val="56B64DD1"/>
    <w:rsid w:val="57270F6B"/>
    <w:rsid w:val="574659DA"/>
    <w:rsid w:val="5760784E"/>
    <w:rsid w:val="576806F4"/>
    <w:rsid w:val="576C23D8"/>
    <w:rsid w:val="578727FD"/>
    <w:rsid w:val="57881534"/>
    <w:rsid w:val="578B3A72"/>
    <w:rsid w:val="578F6250"/>
    <w:rsid w:val="57A74B26"/>
    <w:rsid w:val="57AB6364"/>
    <w:rsid w:val="57D23753"/>
    <w:rsid w:val="57DD31D4"/>
    <w:rsid w:val="57DE120D"/>
    <w:rsid w:val="57E5316D"/>
    <w:rsid w:val="57E60E4A"/>
    <w:rsid w:val="57F376F7"/>
    <w:rsid w:val="58092194"/>
    <w:rsid w:val="580E584F"/>
    <w:rsid w:val="581B208D"/>
    <w:rsid w:val="58223F75"/>
    <w:rsid w:val="582B2845"/>
    <w:rsid w:val="582F0A06"/>
    <w:rsid w:val="584A689E"/>
    <w:rsid w:val="585D2B8F"/>
    <w:rsid w:val="588814AA"/>
    <w:rsid w:val="588E02D0"/>
    <w:rsid w:val="588F2F52"/>
    <w:rsid w:val="58994D20"/>
    <w:rsid w:val="58B61731"/>
    <w:rsid w:val="58B702E1"/>
    <w:rsid w:val="58C3096D"/>
    <w:rsid w:val="58D93C09"/>
    <w:rsid w:val="58DB1DDF"/>
    <w:rsid w:val="58E729F3"/>
    <w:rsid w:val="58E90676"/>
    <w:rsid w:val="58EA14BB"/>
    <w:rsid w:val="58F5279F"/>
    <w:rsid w:val="59177A73"/>
    <w:rsid w:val="594F1110"/>
    <w:rsid w:val="595C42D4"/>
    <w:rsid w:val="59610A56"/>
    <w:rsid w:val="596433F1"/>
    <w:rsid w:val="59A314ED"/>
    <w:rsid w:val="59A93C79"/>
    <w:rsid w:val="59AB6366"/>
    <w:rsid w:val="59B12064"/>
    <w:rsid w:val="59B165CB"/>
    <w:rsid w:val="59C53512"/>
    <w:rsid w:val="59CA4338"/>
    <w:rsid w:val="59D14422"/>
    <w:rsid w:val="59DE2116"/>
    <w:rsid w:val="5A435725"/>
    <w:rsid w:val="5A4E5B14"/>
    <w:rsid w:val="5A5943BE"/>
    <w:rsid w:val="5A5A0960"/>
    <w:rsid w:val="5A5D34F8"/>
    <w:rsid w:val="5A646FB9"/>
    <w:rsid w:val="5A8039ED"/>
    <w:rsid w:val="5A897883"/>
    <w:rsid w:val="5A9B7CED"/>
    <w:rsid w:val="5AA75F43"/>
    <w:rsid w:val="5AAA2834"/>
    <w:rsid w:val="5AC35D0E"/>
    <w:rsid w:val="5AC8465A"/>
    <w:rsid w:val="5AD36697"/>
    <w:rsid w:val="5AE276AF"/>
    <w:rsid w:val="5AE54A11"/>
    <w:rsid w:val="5AE6597A"/>
    <w:rsid w:val="5AE967AB"/>
    <w:rsid w:val="5AEC1B03"/>
    <w:rsid w:val="5AFA3B1E"/>
    <w:rsid w:val="5AFF5093"/>
    <w:rsid w:val="5B05081F"/>
    <w:rsid w:val="5B147F42"/>
    <w:rsid w:val="5B1D405A"/>
    <w:rsid w:val="5B1F7B85"/>
    <w:rsid w:val="5B640719"/>
    <w:rsid w:val="5B6547CA"/>
    <w:rsid w:val="5B7355F1"/>
    <w:rsid w:val="5B763A7F"/>
    <w:rsid w:val="5B782F23"/>
    <w:rsid w:val="5B8E6179"/>
    <w:rsid w:val="5BA1263A"/>
    <w:rsid w:val="5BA1647C"/>
    <w:rsid w:val="5BB92BC3"/>
    <w:rsid w:val="5BC10A7A"/>
    <w:rsid w:val="5BCD1498"/>
    <w:rsid w:val="5BE92D36"/>
    <w:rsid w:val="5BEA37E8"/>
    <w:rsid w:val="5BEC2E96"/>
    <w:rsid w:val="5C0B4EC0"/>
    <w:rsid w:val="5C2C23BC"/>
    <w:rsid w:val="5C376611"/>
    <w:rsid w:val="5C500CAE"/>
    <w:rsid w:val="5C612D40"/>
    <w:rsid w:val="5C661739"/>
    <w:rsid w:val="5C6B3270"/>
    <w:rsid w:val="5C6F24F7"/>
    <w:rsid w:val="5C772784"/>
    <w:rsid w:val="5C791CAA"/>
    <w:rsid w:val="5C7B0715"/>
    <w:rsid w:val="5C814027"/>
    <w:rsid w:val="5C914CBD"/>
    <w:rsid w:val="5C964A23"/>
    <w:rsid w:val="5C967B32"/>
    <w:rsid w:val="5CA22E38"/>
    <w:rsid w:val="5CAE73BB"/>
    <w:rsid w:val="5CC022D6"/>
    <w:rsid w:val="5CDB3ABA"/>
    <w:rsid w:val="5CEC0F33"/>
    <w:rsid w:val="5CFE6C8B"/>
    <w:rsid w:val="5D0C23C6"/>
    <w:rsid w:val="5D0E6C81"/>
    <w:rsid w:val="5D154344"/>
    <w:rsid w:val="5D1902C0"/>
    <w:rsid w:val="5D2509C3"/>
    <w:rsid w:val="5D261D8B"/>
    <w:rsid w:val="5D3649D4"/>
    <w:rsid w:val="5D6034CC"/>
    <w:rsid w:val="5D6A62DD"/>
    <w:rsid w:val="5D967524"/>
    <w:rsid w:val="5DE71BDB"/>
    <w:rsid w:val="5DF46047"/>
    <w:rsid w:val="5DF7323D"/>
    <w:rsid w:val="5E0062C1"/>
    <w:rsid w:val="5E150D27"/>
    <w:rsid w:val="5E1A012B"/>
    <w:rsid w:val="5E1C25C5"/>
    <w:rsid w:val="5E251762"/>
    <w:rsid w:val="5E3005A4"/>
    <w:rsid w:val="5E381C47"/>
    <w:rsid w:val="5E54106A"/>
    <w:rsid w:val="5E834221"/>
    <w:rsid w:val="5EB852AD"/>
    <w:rsid w:val="5EE86BA2"/>
    <w:rsid w:val="5EEA0F5D"/>
    <w:rsid w:val="5EF970FB"/>
    <w:rsid w:val="5F121C5D"/>
    <w:rsid w:val="5F2C7B94"/>
    <w:rsid w:val="5F37059C"/>
    <w:rsid w:val="5F4226FA"/>
    <w:rsid w:val="5F4472D4"/>
    <w:rsid w:val="5F752D2E"/>
    <w:rsid w:val="5F991813"/>
    <w:rsid w:val="5F9D4B1C"/>
    <w:rsid w:val="5FA20FA2"/>
    <w:rsid w:val="5FA62D0B"/>
    <w:rsid w:val="5FA8263F"/>
    <w:rsid w:val="5FBF57BC"/>
    <w:rsid w:val="5FC37153"/>
    <w:rsid w:val="5FEA2F89"/>
    <w:rsid w:val="5FF83186"/>
    <w:rsid w:val="5FFD24E1"/>
    <w:rsid w:val="6007593C"/>
    <w:rsid w:val="60384671"/>
    <w:rsid w:val="605D35B9"/>
    <w:rsid w:val="607572E0"/>
    <w:rsid w:val="60783C51"/>
    <w:rsid w:val="607D577B"/>
    <w:rsid w:val="60BB6630"/>
    <w:rsid w:val="60C1548D"/>
    <w:rsid w:val="60C81F85"/>
    <w:rsid w:val="60CD052E"/>
    <w:rsid w:val="60E10765"/>
    <w:rsid w:val="610D1B62"/>
    <w:rsid w:val="611F595A"/>
    <w:rsid w:val="612E5B5A"/>
    <w:rsid w:val="6150088C"/>
    <w:rsid w:val="61512EE0"/>
    <w:rsid w:val="61561036"/>
    <w:rsid w:val="61713C9D"/>
    <w:rsid w:val="61723129"/>
    <w:rsid w:val="617B18FC"/>
    <w:rsid w:val="617F5EAF"/>
    <w:rsid w:val="617F621C"/>
    <w:rsid w:val="618D3AA4"/>
    <w:rsid w:val="61931494"/>
    <w:rsid w:val="619B28BA"/>
    <w:rsid w:val="61A80E60"/>
    <w:rsid w:val="61B2047D"/>
    <w:rsid w:val="61BA6AC5"/>
    <w:rsid w:val="61D91C77"/>
    <w:rsid w:val="61DF08E2"/>
    <w:rsid w:val="61EF7467"/>
    <w:rsid w:val="61F6142C"/>
    <w:rsid w:val="620F56BC"/>
    <w:rsid w:val="62180049"/>
    <w:rsid w:val="62225BF8"/>
    <w:rsid w:val="62306261"/>
    <w:rsid w:val="625D6638"/>
    <w:rsid w:val="627C249B"/>
    <w:rsid w:val="62866DA2"/>
    <w:rsid w:val="62916A9C"/>
    <w:rsid w:val="62954ACA"/>
    <w:rsid w:val="62982ADB"/>
    <w:rsid w:val="629C2F3C"/>
    <w:rsid w:val="62A535F4"/>
    <w:rsid w:val="62A70F1E"/>
    <w:rsid w:val="62BA3258"/>
    <w:rsid w:val="62BD19BA"/>
    <w:rsid w:val="62CA713A"/>
    <w:rsid w:val="62E02ED2"/>
    <w:rsid w:val="62E77297"/>
    <w:rsid w:val="62EE2E89"/>
    <w:rsid w:val="63107354"/>
    <w:rsid w:val="63492D41"/>
    <w:rsid w:val="635B0052"/>
    <w:rsid w:val="63717506"/>
    <w:rsid w:val="639A657D"/>
    <w:rsid w:val="63A5249D"/>
    <w:rsid w:val="63A871E4"/>
    <w:rsid w:val="63AB708E"/>
    <w:rsid w:val="63BB4456"/>
    <w:rsid w:val="63BE3DC6"/>
    <w:rsid w:val="63E2492E"/>
    <w:rsid w:val="63E35175"/>
    <w:rsid w:val="63E81416"/>
    <w:rsid w:val="63F2570A"/>
    <w:rsid w:val="63F367B7"/>
    <w:rsid w:val="63F40BBD"/>
    <w:rsid w:val="64016CF8"/>
    <w:rsid w:val="6405659B"/>
    <w:rsid w:val="64203ABB"/>
    <w:rsid w:val="64347618"/>
    <w:rsid w:val="643B077C"/>
    <w:rsid w:val="643F0B24"/>
    <w:rsid w:val="64526711"/>
    <w:rsid w:val="646316D9"/>
    <w:rsid w:val="647C14A0"/>
    <w:rsid w:val="6481546E"/>
    <w:rsid w:val="64955455"/>
    <w:rsid w:val="64A0353C"/>
    <w:rsid w:val="64AA0C8E"/>
    <w:rsid w:val="64D20EC9"/>
    <w:rsid w:val="64E831F0"/>
    <w:rsid w:val="65060FB1"/>
    <w:rsid w:val="651C36DB"/>
    <w:rsid w:val="652C459E"/>
    <w:rsid w:val="653D7651"/>
    <w:rsid w:val="65433266"/>
    <w:rsid w:val="65452CAA"/>
    <w:rsid w:val="654F3341"/>
    <w:rsid w:val="65581CE3"/>
    <w:rsid w:val="655A1CE1"/>
    <w:rsid w:val="65675CAE"/>
    <w:rsid w:val="656E3FD3"/>
    <w:rsid w:val="656F3C9C"/>
    <w:rsid w:val="656F7D54"/>
    <w:rsid w:val="65774808"/>
    <w:rsid w:val="65800D60"/>
    <w:rsid w:val="659B7DAF"/>
    <w:rsid w:val="65A074EC"/>
    <w:rsid w:val="65A502A7"/>
    <w:rsid w:val="65AF236E"/>
    <w:rsid w:val="66010BA2"/>
    <w:rsid w:val="6609541B"/>
    <w:rsid w:val="662A5D5B"/>
    <w:rsid w:val="663972E5"/>
    <w:rsid w:val="66443BC5"/>
    <w:rsid w:val="666F2F91"/>
    <w:rsid w:val="66836C9B"/>
    <w:rsid w:val="66836D2D"/>
    <w:rsid w:val="66B83804"/>
    <w:rsid w:val="66C00340"/>
    <w:rsid w:val="66DC672F"/>
    <w:rsid w:val="66F03A5B"/>
    <w:rsid w:val="66F2422E"/>
    <w:rsid w:val="66F3312E"/>
    <w:rsid w:val="66F72697"/>
    <w:rsid w:val="66FC1995"/>
    <w:rsid w:val="670319DF"/>
    <w:rsid w:val="67056C73"/>
    <w:rsid w:val="672C7F1B"/>
    <w:rsid w:val="67326344"/>
    <w:rsid w:val="67470579"/>
    <w:rsid w:val="674E7F2A"/>
    <w:rsid w:val="675133FA"/>
    <w:rsid w:val="67544E6A"/>
    <w:rsid w:val="675B4F67"/>
    <w:rsid w:val="67677271"/>
    <w:rsid w:val="67815B18"/>
    <w:rsid w:val="67BD5521"/>
    <w:rsid w:val="67D0407A"/>
    <w:rsid w:val="67E16D30"/>
    <w:rsid w:val="67E746B9"/>
    <w:rsid w:val="67F1256C"/>
    <w:rsid w:val="6813597D"/>
    <w:rsid w:val="682473EF"/>
    <w:rsid w:val="682F6B03"/>
    <w:rsid w:val="68312EEF"/>
    <w:rsid w:val="68443A36"/>
    <w:rsid w:val="684C097A"/>
    <w:rsid w:val="685974F6"/>
    <w:rsid w:val="686B05BA"/>
    <w:rsid w:val="686F6859"/>
    <w:rsid w:val="686F7660"/>
    <w:rsid w:val="68761993"/>
    <w:rsid w:val="688A31ED"/>
    <w:rsid w:val="688B0A2A"/>
    <w:rsid w:val="689B5916"/>
    <w:rsid w:val="68B51191"/>
    <w:rsid w:val="68BC74E1"/>
    <w:rsid w:val="68E9413C"/>
    <w:rsid w:val="69472EFA"/>
    <w:rsid w:val="69490BEE"/>
    <w:rsid w:val="694B770B"/>
    <w:rsid w:val="696C49E5"/>
    <w:rsid w:val="697F06E2"/>
    <w:rsid w:val="69832FD4"/>
    <w:rsid w:val="69A214A9"/>
    <w:rsid w:val="69AD02E9"/>
    <w:rsid w:val="69BA7E40"/>
    <w:rsid w:val="69BE72AB"/>
    <w:rsid w:val="69C114F7"/>
    <w:rsid w:val="69DD55DB"/>
    <w:rsid w:val="69F64E10"/>
    <w:rsid w:val="6A0325ED"/>
    <w:rsid w:val="6A140554"/>
    <w:rsid w:val="6A163593"/>
    <w:rsid w:val="6A2E5851"/>
    <w:rsid w:val="6A65634A"/>
    <w:rsid w:val="6A823022"/>
    <w:rsid w:val="6A8369E4"/>
    <w:rsid w:val="6A9A019C"/>
    <w:rsid w:val="6AA535F6"/>
    <w:rsid w:val="6AAC4961"/>
    <w:rsid w:val="6AB01D81"/>
    <w:rsid w:val="6ABF3AEA"/>
    <w:rsid w:val="6AC92D7F"/>
    <w:rsid w:val="6ADD3A39"/>
    <w:rsid w:val="6ADF1788"/>
    <w:rsid w:val="6AF6662F"/>
    <w:rsid w:val="6AF77AB0"/>
    <w:rsid w:val="6AFD7B48"/>
    <w:rsid w:val="6B054A6A"/>
    <w:rsid w:val="6B13716A"/>
    <w:rsid w:val="6B2F5FD2"/>
    <w:rsid w:val="6B41087A"/>
    <w:rsid w:val="6B57370B"/>
    <w:rsid w:val="6B5969F7"/>
    <w:rsid w:val="6B5B1571"/>
    <w:rsid w:val="6B6229F3"/>
    <w:rsid w:val="6B6A3D17"/>
    <w:rsid w:val="6B7829CE"/>
    <w:rsid w:val="6B7F39ED"/>
    <w:rsid w:val="6B867865"/>
    <w:rsid w:val="6BE45BED"/>
    <w:rsid w:val="6C184D22"/>
    <w:rsid w:val="6C2C0CF2"/>
    <w:rsid w:val="6C4614C8"/>
    <w:rsid w:val="6C5562C4"/>
    <w:rsid w:val="6C9973CF"/>
    <w:rsid w:val="6CAA0532"/>
    <w:rsid w:val="6CAD353A"/>
    <w:rsid w:val="6CB77066"/>
    <w:rsid w:val="6CC45E2B"/>
    <w:rsid w:val="6CD218F9"/>
    <w:rsid w:val="6CD66CCC"/>
    <w:rsid w:val="6CE75638"/>
    <w:rsid w:val="6CE80DAF"/>
    <w:rsid w:val="6CEF342C"/>
    <w:rsid w:val="6D147DBB"/>
    <w:rsid w:val="6D155979"/>
    <w:rsid w:val="6D21370B"/>
    <w:rsid w:val="6D3836AC"/>
    <w:rsid w:val="6D4965FC"/>
    <w:rsid w:val="6D575857"/>
    <w:rsid w:val="6D641AEE"/>
    <w:rsid w:val="6D6773E2"/>
    <w:rsid w:val="6D682825"/>
    <w:rsid w:val="6D687380"/>
    <w:rsid w:val="6D6E2820"/>
    <w:rsid w:val="6D711E19"/>
    <w:rsid w:val="6D717560"/>
    <w:rsid w:val="6D774DF3"/>
    <w:rsid w:val="6D7A25A0"/>
    <w:rsid w:val="6D7D0150"/>
    <w:rsid w:val="6DA41CFF"/>
    <w:rsid w:val="6DA73198"/>
    <w:rsid w:val="6DB0515B"/>
    <w:rsid w:val="6DBE7901"/>
    <w:rsid w:val="6DC62291"/>
    <w:rsid w:val="6DCF4AEF"/>
    <w:rsid w:val="6DD13297"/>
    <w:rsid w:val="6DDF1732"/>
    <w:rsid w:val="6DEA54FA"/>
    <w:rsid w:val="6DFE3113"/>
    <w:rsid w:val="6E18694B"/>
    <w:rsid w:val="6E2136F8"/>
    <w:rsid w:val="6E256283"/>
    <w:rsid w:val="6E3844AC"/>
    <w:rsid w:val="6E3E061A"/>
    <w:rsid w:val="6E5D0773"/>
    <w:rsid w:val="6E617F6A"/>
    <w:rsid w:val="6EA6507F"/>
    <w:rsid w:val="6EB63B2B"/>
    <w:rsid w:val="6ECB77CA"/>
    <w:rsid w:val="6ECF7C0C"/>
    <w:rsid w:val="6EDA7CD2"/>
    <w:rsid w:val="6EED1F74"/>
    <w:rsid w:val="6F0F039E"/>
    <w:rsid w:val="6F2D1327"/>
    <w:rsid w:val="6F3E1E2B"/>
    <w:rsid w:val="6F40337E"/>
    <w:rsid w:val="6F527C49"/>
    <w:rsid w:val="6F535D1B"/>
    <w:rsid w:val="6F55748D"/>
    <w:rsid w:val="6F5654F6"/>
    <w:rsid w:val="6F9A6389"/>
    <w:rsid w:val="6FBC4F2A"/>
    <w:rsid w:val="6FE513CD"/>
    <w:rsid w:val="6FF80173"/>
    <w:rsid w:val="6FFA5827"/>
    <w:rsid w:val="700011C5"/>
    <w:rsid w:val="70383A64"/>
    <w:rsid w:val="70423327"/>
    <w:rsid w:val="704F648D"/>
    <w:rsid w:val="705C5169"/>
    <w:rsid w:val="70767C9B"/>
    <w:rsid w:val="707915E8"/>
    <w:rsid w:val="709955AF"/>
    <w:rsid w:val="70A2192F"/>
    <w:rsid w:val="70A3110E"/>
    <w:rsid w:val="70A63749"/>
    <w:rsid w:val="70B418CC"/>
    <w:rsid w:val="70D81506"/>
    <w:rsid w:val="71174011"/>
    <w:rsid w:val="712F458B"/>
    <w:rsid w:val="71584F70"/>
    <w:rsid w:val="71612A80"/>
    <w:rsid w:val="71722FDE"/>
    <w:rsid w:val="71775535"/>
    <w:rsid w:val="717F7D16"/>
    <w:rsid w:val="7181028E"/>
    <w:rsid w:val="71D072C6"/>
    <w:rsid w:val="71D55F64"/>
    <w:rsid w:val="71F15F1B"/>
    <w:rsid w:val="71FB4879"/>
    <w:rsid w:val="72244496"/>
    <w:rsid w:val="722C4E98"/>
    <w:rsid w:val="725A680E"/>
    <w:rsid w:val="727041EA"/>
    <w:rsid w:val="72C07BC2"/>
    <w:rsid w:val="72D966B5"/>
    <w:rsid w:val="72DC5C3F"/>
    <w:rsid w:val="731E7904"/>
    <w:rsid w:val="73644CDD"/>
    <w:rsid w:val="73911F97"/>
    <w:rsid w:val="73AC5984"/>
    <w:rsid w:val="73B850F1"/>
    <w:rsid w:val="73C96173"/>
    <w:rsid w:val="73EA76FD"/>
    <w:rsid w:val="74224DA6"/>
    <w:rsid w:val="742800D3"/>
    <w:rsid w:val="744F03CC"/>
    <w:rsid w:val="745813CF"/>
    <w:rsid w:val="745C7501"/>
    <w:rsid w:val="74606875"/>
    <w:rsid w:val="7467657C"/>
    <w:rsid w:val="74757DA0"/>
    <w:rsid w:val="747E6B86"/>
    <w:rsid w:val="748A3F0C"/>
    <w:rsid w:val="749215AA"/>
    <w:rsid w:val="74927C49"/>
    <w:rsid w:val="74A1741F"/>
    <w:rsid w:val="74A65FE2"/>
    <w:rsid w:val="74E91262"/>
    <w:rsid w:val="74EA3790"/>
    <w:rsid w:val="74EA7574"/>
    <w:rsid w:val="74F71746"/>
    <w:rsid w:val="7515200B"/>
    <w:rsid w:val="7561323B"/>
    <w:rsid w:val="75826FC5"/>
    <w:rsid w:val="758721F9"/>
    <w:rsid w:val="75A624BE"/>
    <w:rsid w:val="75DB16A2"/>
    <w:rsid w:val="75DF30AF"/>
    <w:rsid w:val="76152661"/>
    <w:rsid w:val="76256CA1"/>
    <w:rsid w:val="7626040C"/>
    <w:rsid w:val="76320440"/>
    <w:rsid w:val="763C7F81"/>
    <w:rsid w:val="764814BE"/>
    <w:rsid w:val="764A2292"/>
    <w:rsid w:val="764B0362"/>
    <w:rsid w:val="76656B12"/>
    <w:rsid w:val="76665E09"/>
    <w:rsid w:val="767C38E6"/>
    <w:rsid w:val="76865EC7"/>
    <w:rsid w:val="769758D5"/>
    <w:rsid w:val="769D6C1D"/>
    <w:rsid w:val="769F6E7D"/>
    <w:rsid w:val="76BD0E8F"/>
    <w:rsid w:val="76C016A3"/>
    <w:rsid w:val="76D07466"/>
    <w:rsid w:val="76D706C6"/>
    <w:rsid w:val="76EB2CCA"/>
    <w:rsid w:val="76F5787F"/>
    <w:rsid w:val="771C65EE"/>
    <w:rsid w:val="7753139A"/>
    <w:rsid w:val="77590451"/>
    <w:rsid w:val="77660F48"/>
    <w:rsid w:val="776A41E9"/>
    <w:rsid w:val="77747BBA"/>
    <w:rsid w:val="77797698"/>
    <w:rsid w:val="777D5261"/>
    <w:rsid w:val="77B71394"/>
    <w:rsid w:val="77C33FE9"/>
    <w:rsid w:val="77E91368"/>
    <w:rsid w:val="78314FF1"/>
    <w:rsid w:val="78351146"/>
    <w:rsid w:val="783F6401"/>
    <w:rsid w:val="78440664"/>
    <w:rsid w:val="784679A7"/>
    <w:rsid w:val="786B2A66"/>
    <w:rsid w:val="78706E60"/>
    <w:rsid w:val="78761328"/>
    <w:rsid w:val="7898422F"/>
    <w:rsid w:val="78C37D6C"/>
    <w:rsid w:val="78D01884"/>
    <w:rsid w:val="78E102E5"/>
    <w:rsid w:val="79054EC3"/>
    <w:rsid w:val="79084F13"/>
    <w:rsid w:val="793E3637"/>
    <w:rsid w:val="794B6F81"/>
    <w:rsid w:val="79536F5C"/>
    <w:rsid w:val="795434E7"/>
    <w:rsid w:val="795B391D"/>
    <w:rsid w:val="796E577D"/>
    <w:rsid w:val="79783B63"/>
    <w:rsid w:val="797B3397"/>
    <w:rsid w:val="798642B3"/>
    <w:rsid w:val="79A73E70"/>
    <w:rsid w:val="79AD1E35"/>
    <w:rsid w:val="79E63D12"/>
    <w:rsid w:val="79EC3AF2"/>
    <w:rsid w:val="79F6751A"/>
    <w:rsid w:val="7A483A68"/>
    <w:rsid w:val="7A4C3BE8"/>
    <w:rsid w:val="7A4D5F13"/>
    <w:rsid w:val="7A856A08"/>
    <w:rsid w:val="7A91102E"/>
    <w:rsid w:val="7AA03EE3"/>
    <w:rsid w:val="7AA07A1C"/>
    <w:rsid w:val="7ABA773C"/>
    <w:rsid w:val="7AC87B09"/>
    <w:rsid w:val="7ADC6ED7"/>
    <w:rsid w:val="7ADE0E8D"/>
    <w:rsid w:val="7AE13EF0"/>
    <w:rsid w:val="7AFC2354"/>
    <w:rsid w:val="7B3872DA"/>
    <w:rsid w:val="7B3B1963"/>
    <w:rsid w:val="7B5F71E9"/>
    <w:rsid w:val="7B6F5194"/>
    <w:rsid w:val="7B8C296D"/>
    <w:rsid w:val="7BA42232"/>
    <w:rsid w:val="7BBB3CB0"/>
    <w:rsid w:val="7BC1539D"/>
    <w:rsid w:val="7BE91CB5"/>
    <w:rsid w:val="7BF754A4"/>
    <w:rsid w:val="7BFF4258"/>
    <w:rsid w:val="7C012B51"/>
    <w:rsid w:val="7C0D02AC"/>
    <w:rsid w:val="7C143B0C"/>
    <w:rsid w:val="7C4869FD"/>
    <w:rsid w:val="7C4A4E8E"/>
    <w:rsid w:val="7C5D32F5"/>
    <w:rsid w:val="7C6503D1"/>
    <w:rsid w:val="7C791A9B"/>
    <w:rsid w:val="7C8E1829"/>
    <w:rsid w:val="7C9461F0"/>
    <w:rsid w:val="7CA16B42"/>
    <w:rsid w:val="7CA33CC5"/>
    <w:rsid w:val="7CC00D2F"/>
    <w:rsid w:val="7CD618F0"/>
    <w:rsid w:val="7D2644E2"/>
    <w:rsid w:val="7D446168"/>
    <w:rsid w:val="7D5F1003"/>
    <w:rsid w:val="7D6F1B9F"/>
    <w:rsid w:val="7D7423E5"/>
    <w:rsid w:val="7D7A4648"/>
    <w:rsid w:val="7D86386D"/>
    <w:rsid w:val="7D8A5154"/>
    <w:rsid w:val="7D8E37A0"/>
    <w:rsid w:val="7DA22F96"/>
    <w:rsid w:val="7DC34EA7"/>
    <w:rsid w:val="7DD4221A"/>
    <w:rsid w:val="7DE556DE"/>
    <w:rsid w:val="7DE55C78"/>
    <w:rsid w:val="7DF04BB5"/>
    <w:rsid w:val="7DF524BA"/>
    <w:rsid w:val="7DF938D5"/>
    <w:rsid w:val="7DFC562C"/>
    <w:rsid w:val="7DFD162B"/>
    <w:rsid w:val="7E0A6B3E"/>
    <w:rsid w:val="7E1213E6"/>
    <w:rsid w:val="7E8E34AF"/>
    <w:rsid w:val="7E9513D7"/>
    <w:rsid w:val="7E981901"/>
    <w:rsid w:val="7E9E74D9"/>
    <w:rsid w:val="7EA32013"/>
    <w:rsid w:val="7EAC494E"/>
    <w:rsid w:val="7EBD57FB"/>
    <w:rsid w:val="7ED50F68"/>
    <w:rsid w:val="7EDD42B3"/>
    <w:rsid w:val="7EEE3827"/>
    <w:rsid w:val="7EFB0BFA"/>
    <w:rsid w:val="7F074ED3"/>
    <w:rsid w:val="7F0F51B7"/>
    <w:rsid w:val="7F1218AB"/>
    <w:rsid w:val="7F130740"/>
    <w:rsid w:val="7F3231CA"/>
    <w:rsid w:val="7F5174F0"/>
    <w:rsid w:val="7F5252CC"/>
    <w:rsid w:val="7F68739C"/>
    <w:rsid w:val="7F950AF1"/>
    <w:rsid w:val="7FA93CF3"/>
    <w:rsid w:val="7FCF2A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Strong"/>
    <w:basedOn w:val="5"/>
    <w:qFormat/>
    <w:uiPriority w:val="0"/>
    <w:rPr>
      <w:b/>
    </w:rPr>
  </w:style>
  <w:style w:type="character" w:styleId="7">
    <w:name w:val="Hyperlink"/>
    <w:basedOn w:val="5"/>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2229</Words>
  <Characters>2686</Characters>
  <Lines>19</Lines>
  <Paragraphs>5</Paragraphs>
  <TotalTime>99</TotalTime>
  <ScaleCrop>false</ScaleCrop>
  <LinksUpToDate>false</LinksUpToDate>
  <CharactersWithSpaces>2829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2024-12-26T06:27:00Z</dcterms:created>
  <dc:creator>Nice</dc:creator>
  <cp:lastModifiedBy>Nice</cp:lastModifiedBy>
  <dcterms:modified xsi:type="dcterms:W3CDTF">2026-09-08T07:07:48Z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5F0480FE632F4BD18D9D017968A1692F_13</vt:lpwstr>
  </property>
  <property fmtid="{D5CDD505-2E9C-101B-9397-08002B2CF9AE}" pid="4" name="KSOTemplateDocerSaveRecord">
    <vt:lpwstr>eyJoZGlkIjoiZDQxZmRjNDQ0NWE2NGM1MmMwNTAzODFhMWI4ZWNlOGYiLCJ1c2VySWQiOiIyNDExMTE5NTcifQ==</vt:lpwstr>
  </property>
</Properties>
</file>