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8138F">
      <w:pPr>
        <w:jc w:val="left"/>
        <w:rPr>
          <w:rFonts w:hint="default" w:ascii="宋体" w:hAnsi="宋体"/>
          <w:sz w:val="24"/>
          <w:szCs w:val="24"/>
          <w:lang w:val="en-US"/>
        </w:rPr>
      </w:pPr>
      <w:r>
        <w:rPr>
          <w:rFonts w:hint="eastAsia" w:ascii="宋体" w:hAnsi="宋体"/>
          <w:sz w:val="24"/>
          <w:szCs w:val="24"/>
        </w:rPr>
        <w:t>证券代码：</w:t>
      </w:r>
      <w:r>
        <w:rPr>
          <w:rFonts w:hint="default" w:ascii="宋体" w:hAnsi="宋体"/>
          <w:sz w:val="24"/>
          <w:szCs w:val="24"/>
          <w:lang w:val="en-US"/>
        </w:rPr>
        <w:t>603232</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公司简称：</w:t>
      </w:r>
      <w:r>
        <w:rPr>
          <w:rFonts w:hint="default" w:ascii="宋体" w:hAnsi="宋体"/>
          <w:sz w:val="24"/>
          <w:szCs w:val="24"/>
          <w:lang w:val="en-US"/>
        </w:rPr>
        <w:t>格尔软件</w:t>
      </w:r>
    </w:p>
    <w:p w14:paraId="22B177E1">
      <w:pPr>
        <w:jc w:val="left"/>
        <w:rPr>
          <w:rFonts w:hint="default" w:ascii="宋体" w:hAnsi="宋体"/>
          <w:sz w:val="24"/>
          <w:szCs w:val="24"/>
          <w:lang w:val="en-US"/>
        </w:rPr>
      </w:pPr>
    </w:p>
    <w:p w14:paraId="63E90D70">
      <w:pPr>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格尔软件股份有限公司</w:t>
      </w:r>
    </w:p>
    <w:p w14:paraId="0D59956A">
      <w:pPr>
        <w:jc w:val="center"/>
        <w:rPr>
          <w:rFonts w:ascii="黑体" w:hAnsi="黑体" w:eastAsia="黑体"/>
          <w:sz w:val="36"/>
          <w:szCs w:val="36"/>
        </w:rPr>
      </w:pPr>
      <w:r>
        <w:rPr>
          <w:rFonts w:hint="eastAsia" w:asciiTheme="minorEastAsia" w:hAnsiTheme="minorEastAsia" w:eastAsiaTheme="minorEastAsia" w:cstheme="minorEastAsia"/>
          <w:sz w:val="36"/>
          <w:szCs w:val="36"/>
        </w:rPr>
        <w:t>投资者关系活动记录表</w:t>
      </w:r>
    </w:p>
    <w:p w14:paraId="40EC71A9">
      <w:pPr>
        <w:jc w:val="center"/>
        <w:rPr>
          <w:rFonts w:ascii="黑体" w:hAnsi="黑体" w:eastAsia="黑体"/>
          <w:sz w:val="24"/>
          <w:szCs w:val="24"/>
        </w:rPr>
      </w:pPr>
    </w:p>
    <w:p w14:paraId="216DC978">
      <w:pPr>
        <w:ind w:right="720"/>
        <w:jc w:val="righ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 xml:space="preserve">  记录</w:t>
      </w:r>
      <w:r>
        <w:rPr>
          <w:rFonts w:hint="eastAsia" w:asciiTheme="majorEastAsia" w:hAnsiTheme="majorEastAsia" w:eastAsiaTheme="majorEastAsia" w:cstheme="majorEastAsia"/>
          <w:sz w:val="24"/>
          <w:szCs w:val="24"/>
        </w:rPr>
        <w:t>编号</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highlight w:val="none"/>
          <w:lang w:val="en-US"/>
        </w:rPr>
        <w:t>202</w:t>
      </w:r>
      <w:r>
        <w:rPr>
          <w:rFonts w:hint="eastAsia" w:asciiTheme="majorEastAsia" w:hAnsiTheme="majorEastAsia" w:eastAsiaTheme="majorEastAsia" w:cstheme="majorEastAsia"/>
          <w:highlight w:val="none"/>
          <w:lang w:val="en-US" w:eastAsia="zh-CN"/>
        </w:rPr>
        <w:t>6</w:t>
      </w:r>
      <w:r>
        <w:rPr>
          <w:rFonts w:hint="eastAsia" w:asciiTheme="majorEastAsia" w:hAnsiTheme="majorEastAsia" w:eastAsiaTheme="majorEastAsia" w:cstheme="majorEastAsia"/>
          <w:highlight w:val="none"/>
          <w:lang w:val="en-US"/>
        </w:rPr>
        <w:t>-00</w:t>
      </w:r>
      <w:r>
        <w:rPr>
          <w:rFonts w:hint="eastAsia" w:asciiTheme="majorEastAsia" w:hAnsiTheme="majorEastAsia" w:eastAsiaTheme="majorEastAsia" w:cstheme="majorEastAsia"/>
          <w:highlight w:val="none"/>
          <w:lang w:val="en-US" w:eastAsia="zh-CN"/>
        </w:rPr>
        <w:t>2</w:t>
      </w:r>
    </w:p>
    <w:tbl>
      <w:tblPr>
        <w:tblStyle w:val="4"/>
        <w:tblW w:w="87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7191"/>
      </w:tblGrid>
      <w:tr w14:paraId="31196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66D1AB80">
            <w:pPr>
              <w:rPr>
                <w:sz w:val="24"/>
                <w:szCs w:val="24"/>
              </w:rPr>
            </w:pPr>
            <w:r>
              <w:rPr>
                <w:rFonts w:hint="eastAsia"/>
                <w:sz w:val="24"/>
                <w:szCs w:val="24"/>
              </w:rPr>
              <w:t>投资者关系活动类别</w:t>
            </w:r>
          </w:p>
        </w:tc>
        <w:tc>
          <w:tcPr>
            <w:tcW w:w="7191" w:type="dxa"/>
            <w:noWrap w:val="0"/>
            <w:vAlign w:val="center"/>
          </w:tcPr>
          <w:p w14:paraId="34053215">
            <w:pPr>
              <w:spacing w:line="360" w:lineRule="auto"/>
              <w:rPr>
                <w:rFonts w:hint="eastAsia"/>
                <w:sz w:val="24"/>
                <w:szCs w:val="24"/>
              </w:rPr>
            </w:pPr>
            <w:r>
              <w:rPr>
                <w:rFonts w:hint="eastAsia" w:ascii="宋体" w:hAnsi="宋体" w:eastAsia="宋体" w:cs="宋体"/>
                <w:sz w:val="24"/>
                <w:szCs w:val="24"/>
                <w:highlight w:val="none"/>
              </w:rPr>
              <w:t>业绩说明会</w:t>
            </w:r>
          </w:p>
        </w:tc>
      </w:tr>
      <w:tr w14:paraId="37284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471CCC55">
            <w:pPr>
              <w:rPr>
                <w:sz w:val="24"/>
                <w:szCs w:val="24"/>
              </w:rPr>
            </w:pPr>
            <w:r>
              <w:rPr>
                <w:rFonts w:hint="eastAsia"/>
                <w:sz w:val="24"/>
                <w:szCs w:val="24"/>
              </w:rPr>
              <w:t>活动主题</w:t>
            </w:r>
          </w:p>
        </w:tc>
        <w:tc>
          <w:tcPr>
            <w:tcW w:w="7191" w:type="dxa"/>
            <w:noWrap w:val="0"/>
            <w:vAlign w:val="center"/>
          </w:tcPr>
          <w:p w14:paraId="0AEE13A8">
            <w:pPr>
              <w:rPr>
                <w:sz w:val="24"/>
                <w:szCs w:val="24"/>
              </w:rPr>
            </w:pPr>
            <w:r>
              <w:rPr>
                <w:rFonts w:hint="eastAsia" w:ascii="宋体" w:hAnsi="宋体" w:eastAsia="宋体" w:cs="宋体"/>
                <w:bCs/>
                <w:iCs/>
                <w:color w:val="000000"/>
                <w:sz w:val="24"/>
                <w:highlight w:val="none"/>
                <w:lang w:val="en-GB"/>
              </w:rPr>
              <w:t>格尔软件2026年半年度业绩说明会</w:t>
            </w:r>
          </w:p>
        </w:tc>
      </w:tr>
      <w:tr w14:paraId="51384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trPr>
        <w:tc>
          <w:tcPr>
            <w:tcW w:w="1526" w:type="dxa"/>
            <w:noWrap w:val="0"/>
            <w:vAlign w:val="center"/>
          </w:tcPr>
          <w:p w14:paraId="76F4A1DE">
            <w:pPr>
              <w:rPr>
                <w:sz w:val="24"/>
                <w:szCs w:val="24"/>
              </w:rPr>
            </w:pPr>
            <w:r>
              <w:rPr>
                <w:rFonts w:hint="eastAsia"/>
                <w:sz w:val="24"/>
                <w:szCs w:val="24"/>
              </w:rPr>
              <w:t>时间</w:t>
            </w:r>
          </w:p>
        </w:tc>
        <w:tc>
          <w:tcPr>
            <w:tcW w:w="7191" w:type="dxa"/>
            <w:noWrap w:val="0"/>
            <w:vAlign w:val="center"/>
          </w:tcPr>
          <w:p w14:paraId="30792C51">
            <w:pPr>
              <w:rPr>
                <w:rFonts w:hint="eastAsia"/>
                <w:sz w:val="24"/>
                <w:szCs w:val="24"/>
              </w:rPr>
            </w:pPr>
            <w:r>
              <w:rPr>
                <w:rFonts w:hint="eastAsia" w:ascii="宋体" w:hAnsi="宋体" w:eastAsia="宋体" w:cs="宋体"/>
                <w:bCs/>
                <w:iCs/>
                <w:color w:val="000000"/>
                <w:sz w:val="24"/>
                <w:highlight w:val="none"/>
              </w:rPr>
              <w:t>2026</w:t>
            </w:r>
            <w:r>
              <w:rPr>
                <w:rFonts w:hint="eastAsia" w:ascii="宋体" w:hAnsi="宋体" w:cs="宋体"/>
                <w:bCs/>
                <w:iCs/>
                <w:color w:val="000000"/>
                <w:sz w:val="24"/>
                <w:highlight w:val="none"/>
                <w:lang w:val="en-US" w:eastAsia="zh-CN"/>
              </w:rPr>
              <w:t>年</w:t>
            </w:r>
            <w:r>
              <w:rPr>
                <w:rFonts w:hint="eastAsia" w:ascii="宋体" w:hAnsi="宋体" w:eastAsia="宋体" w:cs="宋体"/>
                <w:bCs/>
                <w:iCs/>
                <w:color w:val="000000"/>
                <w:sz w:val="24"/>
                <w:highlight w:val="none"/>
              </w:rPr>
              <w:t>9</w:t>
            </w:r>
            <w:r>
              <w:rPr>
                <w:rFonts w:hint="eastAsia" w:ascii="宋体" w:hAnsi="宋体" w:cs="宋体"/>
                <w:bCs/>
                <w:iCs/>
                <w:color w:val="000000"/>
                <w:sz w:val="24"/>
                <w:highlight w:val="none"/>
                <w:lang w:val="en-US" w:eastAsia="zh-CN"/>
              </w:rPr>
              <w:t>月</w:t>
            </w:r>
            <w:r>
              <w:rPr>
                <w:rFonts w:hint="eastAsia" w:ascii="宋体" w:hAnsi="宋体" w:eastAsia="宋体" w:cs="宋体"/>
                <w:bCs/>
                <w:iCs/>
                <w:color w:val="000000"/>
                <w:sz w:val="24"/>
                <w:highlight w:val="none"/>
              </w:rPr>
              <w:t>7</w:t>
            </w:r>
            <w:r>
              <w:rPr>
                <w:rFonts w:hint="eastAsia" w:ascii="宋体" w:hAnsi="宋体" w:cs="宋体"/>
                <w:bCs/>
                <w:iCs/>
                <w:color w:val="000000"/>
                <w:sz w:val="24"/>
                <w:highlight w:val="none"/>
                <w:lang w:val="en-US" w:eastAsia="zh-CN"/>
              </w:rPr>
              <w:t xml:space="preserve">日 </w:t>
            </w:r>
            <w:r>
              <w:rPr>
                <w:rFonts w:hint="eastAsia" w:ascii="宋体" w:hAnsi="宋体" w:eastAsia="宋体" w:cs="宋体"/>
                <w:bCs/>
                <w:iCs/>
                <w:color w:val="000000"/>
                <w:sz w:val="24"/>
                <w:highlight w:val="none"/>
              </w:rPr>
              <w:t xml:space="preserve"> 14:00-15:00</w:t>
            </w:r>
          </w:p>
        </w:tc>
      </w:tr>
      <w:tr w14:paraId="0D353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41679223">
            <w:pPr>
              <w:rPr>
                <w:sz w:val="24"/>
                <w:szCs w:val="24"/>
              </w:rPr>
            </w:pPr>
            <w:r>
              <w:rPr>
                <w:rFonts w:hint="eastAsia"/>
                <w:sz w:val="24"/>
                <w:szCs w:val="24"/>
              </w:rPr>
              <w:t>地点</w:t>
            </w:r>
            <w:r>
              <w:rPr>
                <w:rFonts w:hint="eastAsia" w:ascii="宋体" w:hAnsi="宋体"/>
                <w:sz w:val="24"/>
                <w:szCs w:val="24"/>
              </w:rPr>
              <w:t>/</w:t>
            </w:r>
            <w:r>
              <w:rPr>
                <w:rFonts w:hint="eastAsia"/>
                <w:sz w:val="24"/>
                <w:szCs w:val="24"/>
              </w:rPr>
              <w:t>方式</w:t>
            </w:r>
          </w:p>
        </w:tc>
        <w:tc>
          <w:tcPr>
            <w:tcW w:w="7191" w:type="dxa"/>
            <w:noWrap w:val="0"/>
            <w:vAlign w:val="center"/>
          </w:tcPr>
          <w:p w14:paraId="30A1F1B7">
            <w:pPr>
              <w:jc w:val="left"/>
              <w:rPr>
                <w:rFonts w:hint="eastAsia"/>
                <w:sz w:val="24"/>
                <w:szCs w:val="24"/>
              </w:rPr>
            </w:pPr>
            <w:r>
              <w:rPr>
                <w:rFonts w:hint="eastAsia" w:ascii="宋体" w:hAnsi="宋体"/>
                <w:bCs/>
                <w:sz w:val="24"/>
                <w:lang w:val="en-US" w:eastAsia="zh-CN"/>
              </w:rPr>
              <w:t>上交所</w:t>
            </w:r>
            <w:r>
              <w:rPr>
                <w:rFonts w:hint="eastAsia" w:ascii="宋体" w:hAnsi="宋体"/>
                <w:bCs/>
                <w:sz w:val="24"/>
              </w:rPr>
              <w:t xml:space="preserve">上证路演中心 </w:t>
            </w:r>
            <w:r>
              <w:fldChar w:fldCharType="begin"/>
            </w:r>
            <w:r>
              <w:instrText xml:space="preserve"> HYPERLINK "https://roadshow.sseinfo.com" </w:instrText>
            </w:r>
            <w:r>
              <w:fldChar w:fldCharType="separate"/>
            </w:r>
            <w:r>
              <w:rPr>
                <w:rStyle w:val="6"/>
                <w:rFonts w:hint="eastAsia" w:ascii="宋体" w:hAnsi="宋体"/>
                <w:bCs/>
                <w:sz w:val="24"/>
              </w:rPr>
              <w:t>https://roadshow.sseinfo.com</w:t>
            </w:r>
            <w:r>
              <w:rPr>
                <w:rStyle w:val="6"/>
                <w:rFonts w:hint="eastAsia" w:ascii="宋体" w:hAnsi="宋体"/>
                <w:bCs/>
                <w:sz w:val="24"/>
              </w:rPr>
              <w:fldChar w:fldCharType="end"/>
            </w:r>
          </w:p>
        </w:tc>
      </w:tr>
      <w:tr w14:paraId="035B9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1C4B3A5D">
            <w:pPr>
              <w:rPr>
                <w:sz w:val="24"/>
                <w:szCs w:val="24"/>
              </w:rPr>
            </w:pPr>
            <w:r>
              <w:rPr>
                <w:rFonts w:hint="eastAsia"/>
                <w:sz w:val="24"/>
                <w:szCs w:val="24"/>
              </w:rPr>
              <w:t>参会人员</w:t>
            </w:r>
          </w:p>
        </w:tc>
        <w:tc>
          <w:tcPr>
            <w:tcW w:w="7191" w:type="dxa"/>
            <w:noWrap w:val="0"/>
            <w:vAlign w:val="center"/>
          </w:tcPr>
          <w:p w14:paraId="75F979C4">
            <w:pPr>
              <w:spacing w:line="360" w:lineRule="auto"/>
              <w:rPr>
                <w:rFonts w:hint="eastAsia"/>
                <w:sz w:val="24"/>
                <w:szCs w:val="24"/>
              </w:rPr>
            </w:pPr>
            <w:r>
              <w:rPr>
                <w:rFonts w:hint="eastAsia"/>
                <w:sz w:val="24"/>
                <w:szCs w:val="24"/>
              </w:rPr>
              <w:t>线上参与公司202</w:t>
            </w:r>
            <w:r>
              <w:rPr>
                <w:rFonts w:hint="eastAsia"/>
                <w:sz w:val="24"/>
                <w:szCs w:val="24"/>
                <w:lang w:val="en-US" w:eastAsia="zh-CN"/>
              </w:rPr>
              <w:t>6年半</w:t>
            </w:r>
            <w:r>
              <w:rPr>
                <w:rFonts w:hint="eastAsia"/>
                <w:sz w:val="24"/>
                <w:szCs w:val="24"/>
              </w:rPr>
              <w:t>年度业绩说明会的投资者</w:t>
            </w:r>
          </w:p>
        </w:tc>
      </w:tr>
      <w:tr w14:paraId="5A46D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526" w:type="dxa"/>
            <w:noWrap w:val="0"/>
            <w:vAlign w:val="center"/>
          </w:tcPr>
          <w:p w14:paraId="219B8EC0">
            <w:pPr>
              <w:rPr>
                <w:sz w:val="24"/>
                <w:szCs w:val="24"/>
              </w:rPr>
            </w:pPr>
            <w:r>
              <w:rPr>
                <w:rFonts w:hint="eastAsia"/>
                <w:sz w:val="24"/>
                <w:szCs w:val="24"/>
              </w:rPr>
              <w:t>投资者关系活动主要内容介绍</w:t>
            </w:r>
          </w:p>
        </w:tc>
        <w:tc>
          <w:tcPr>
            <w:tcW w:w="7191" w:type="dxa"/>
            <w:noWrap w:val="0"/>
            <w:vAlign w:val="top"/>
          </w:tcPr>
          <w:p w14:paraId="282025AE">
            <w:pPr>
              <w:spacing w:line="360" w:lineRule="auto"/>
              <w:rPr>
                <w:rFonts w:hint="default" w:ascii="宋体"/>
                <w:b/>
                <w:bCs/>
                <w:sz w:val="24"/>
                <w:lang w:val="en-US"/>
              </w:rPr>
            </w:pPr>
            <w:r>
              <w:rPr>
                <w:rFonts w:hint="default" w:ascii="宋体"/>
                <w:b/>
                <w:bCs/>
                <w:sz w:val="24"/>
                <w:lang w:val="en-US"/>
              </w:rPr>
              <w:t>线上提问环节主要问题：</w:t>
            </w:r>
          </w:p>
          <w:p w14:paraId="3B866CA2">
            <w:pPr>
              <w:spacing w:line="360" w:lineRule="auto"/>
            </w:pPr>
            <w:r>
              <w:rPr>
                <w:rFonts w:hint="default" w:ascii="宋体"/>
                <w:b/>
                <w:bCs/>
                <w:sz w:val="24"/>
                <w:lang w:val="en-US"/>
              </w:rPr>
              <w:t>1、</w:t>
            </w:r>
            <w:r>
              <w:rPr>
                <w:rFonts w:hint="default" w:ascii="宋体"/>
                <w:b/>
                <w:bCs/>
                <w:sz w:val="24"/>
                <w:lang w:val="en-US"/>
              </w:rPr>
              <w:t>公</w:t>
            </w:r>
            <w:r>
              <w:rPr>
                <w:rFonts w:hint="default" w:ascii="宋体"/>
                <w:b/>
                <w:bCs/>
                <w:sz w:val="24"/>
                <w:lang w:val="en-US"/>
              </w:rPr>
              <w:t>司预计抗量子业务和AI相关业务大概要多长时间才能在营收上有比较明显的体现？越往后是否竞争越激烈，公司的技术壁垒就不显优势了？</w:t>
            </w:r>
          </w:p>
          <w:p w14:paraId="0C89D5FC">
            <w:pPr>
              <w:spacing w:line="460" w:lineRule="auto"/>
              <w:rPr>
                <w:rFonts w:hint="default" w:ascii="宋体"/>
                <w:sz w:val="24"/>
                <w:lang w:val="en-US"/>
              </w:rPr>
            </w:pPr>
            <w:r>
              <w:rPr>
                <w:rFonts w:hint="default" w:ascii="宋体"/>
                <w:sz w:val="24"/>
                <w:lang w:val="en-US"/>
              </w:rPr>
              <w:t>答:尊敬的投资者，您好！公司从2018年起开始储备量子安全相关技术，构建具有自主知识产权的抗量子密码安全防护体系。目前，公司在抗量子密码技术领域，从算法研究、产品研发到场景应用已形成全链条技术布局。同时，公司按照以AI为核心的战略转型计划，重点深化AI与公司核心业务的融合，在2026年上半年陆续发布了AI大模型安全保险箱、AI大模型应用安全护栏、智能体身份管理平台等AI安全产品，率先通过了中国信息通信研究院等权威机构的安全能力测试，其中“AI大模型安全保险箱”荣获2026年上交会的“镇馆之宝”。相关的具体经营数据，请关注公司的定期报告。感谢您的关注！</w:t>
            </w:r>
          </w:p>
          <w:p w14:paraId="50CF3EEA">
            <w:pPr>
              <w:spacing w:line="360" w:lineRule="auto"/>
              <w:rPr>
                <w:b/>
                <w:bCs/>
              </w:rPr>
            </w:pPr>
            <w:r>
              <w:rPr>
                <w:rFonts w:hint="default" w:ascii="宋体"/>
                <w:b/>
                <w:bCs/>
                <w:sz w:val="24"/>
                <w:lang w:val="en-US"/>
              </w:rPr>
              <w:t>2、公司在研发投入中有800多万是与合作方的，请问是院校还是其它公司的合作项目？能不能展开说一下？</w:t>
            </w:r>
          </w:p>
          <w:p w14:paraId="7B7F33E3">
            <w:pPr>
              <w:spacing w:line="460" w:lineRule="auto"/>
              <w:jc w:val="both"/>
              <w:rPr>
                <w:rFonts w:hint="default" w:ascii="宋体"/>
                <w:sz w:val="24"/>
                <w:lang w:val="en-US"/>
              </w:rPr>
            </w:pPr>
            <w:r>
              <w:rPr>
                <w:rFonts w:hint="default" w:ascii="宋体"/>
                <w:sz w:val="24"/>
                <w:lang w:val="en-US"/>
              </w:rPr>
              <w:t>答:尊敬的投资者，您好！报告期内委托外部研究开发费用8,195,366.37元，系公司委托第三方进行开发发生的相关费用，感谢您的关注！</w:t>
            </w:r>
          </w:p>
          <w:p w14:paraId="698FC68B">
            <w:pPr>
              <w:spacing w:line="360" w:lineRule="auto"/>
              <w:rPr>
                <w:b/>
                <w:bCs/>
              </w:rPr>
            </w:pPr>
            <w:r>
              <w:rPr>
                <w:rFonts w:hint="eastAsia" w:ascii="宋体"/>
                <w:b/>
                <w:bCs/>
                <w:sz w:val="24"/>
                <w:lang w:val="en-US" w:eastAsia="zh-CN"/>
              </w:rPr>
              <w:t>3</w:t>
            </w:r>
            <w:r>
              <w:rPr>
                <w:rFonts w:hint="default" w:ascii="宋体"/>
                <w:b/>
                <w:bCs/>
                <w:sz w:val="24"/>
                <w:lang w:val="en-US"/>
              </w:rPr>
              <w:t>、除同公司正常经营业务相关的有效套期保值业务外，非金融企业持有金融资产和金融负债产生的公允价值变动损益以及处置金融资产和金融负债产生的损益有728.8万，请问是投资哪家公司产生的公允值变动，能详细说明一下吗？</w:t>
            </w:r>
          </w:p>
          <w:p w14:paraId="73C8DB31">
            <w:pPr>
              <w:spacing w:line="460" w:lineRule="auto"/>
              <w:rPr>
                <w:rFonts w:hint="default" w:ascii="宋体"/>
                <w:sz w:val="24"/>
                <w:lang w:val="en-US"/>
              </w:rPr>
            </w:pPr>
            <w:r>
              <w:rPr>
                <w:rFonts w:hint="default" w:ascii="宋体"/>
                <w:sz w:val="24"/>
                <w:lang w:val="en-US"/>
              </w:rPr>
              <w:t>答:尊敬的投资者，您好！系投资相关参股公司产生的公允价值变动，感谢您的关注！</w:t>
            </w:r>
          </w:p>
          <w:p w14:paraId="0222AA8D">
            <w:pPr>
              <w:spacing w:line="360" w:lineRule="auto"/>
              <w:rPr>
                <w:b/>
                <w:bCs/>
              </w:rPr>
            </w:pPr>
            <w:r>
              <w:rPr>
                <w:rFonts w:hint="eastAsia" w:ascii="宋体"/>
                <w:b/>
                <w:bCs/>
                <w:sz w:val="24"/>
                <w:lang w:val="en-US" w:eastAsia="zh-CN"/>
              </w:rPr>
              <w:t>4</w:t>
            </w:r>
            <w:r>
              <w:rPr>
                <w:rFonts w:hint="default" w:ascii="宋体"/>
                <w:b/>
                <w:bCs/>
                <w:sz w:val="24"/>
                <w:lang w:val="en-US"/>
              </w:rPr>
              <w:t>、从公众号得知，公司正与印尼曼底利银行和阿联酋阿布扎比第一银行推进业务，请问国外业务在分地区业务中会不会有体现？这类客户的确认期也是跟国内一样都在第三第四季度吗？之前阿尔及利亚的项目为什么在分地区业务中没有体现？</w:t>
            </w:r>
          </w:p>
          <w:p w14:paraId="206B4DC6">
            <w:pPr>
              <w:spacing w:line="460" w:lineRule="auto"/>
              <w:rPr>
                <w:rFonts w:hint="default" w:ascii="宋体"/>
                <w:sz w:val="24"/>
                <w:lang w:val="en-US"/>
              </w:rPr>
            </w:pPr>
            <w:r>
              <w:rPr>
                <w:rFonts w:hint="default" w:ascii="宋体"/>
                <w:sz w:val="24"/>
                <w:lang w:val="en-US"/>
              </w:rPr>
              <w:t>答:尊敬的投资者，您好！上述业务最终客户是海外客户，不会体现在分地区业务中。感谢您的关注！</w:t>
            </w:r>
          </w:p>
          <w:p w14:paraId="105B1810">
            <w:pPr>
              <w:spacing w:line="360" w:lineRule="auto"/>
              <w:rPr>
                <w:b/>
                <w:bCs/>
              </w:rPr>
            </w:pPr>
            <w:r>
              <w:rPr>
                <w:rFonts w:hint="eastAsia" w:ascii="宋体"/>
                <w:b/>
                <w:bCs/>
                <w:sz w:val="24"/>
                <w:lang w:val="en-US" w:eastAsia="zh-CN"/>
              </w:rPr>
              <w:t>5</w:t>
            </w:r>
            <w:r>
              <w:rPr>
                <w:rFonts w:hint="default" w:ascii="宋体"/>
                <w:b/>
                <w:bCs/>
                <w:sz w:val="24"/>
                <w:lang w:val="en-US"/>
              </w:rPr>
              <w:t>、在半年报运营情况中，看到公司在多项领域有项目落地和启动，为什么在半年报营收中没有体现？是否都要等到年报才能看到还是三季报就能看到？</w:t>
            </w:r>
          </w:p>
          <w:p w14:paraId="40DAD8C6">
            <w:pPr>
              <w:spacing w:line="460" w:lineRule="auto"/>
              <w:rPr>
                <w:rFonts w:hint="default" w:ascii="宋体"/>
                <w:sz w:val="24"/>
                <w:lang w:val="en-US"/>
              </w:rPr>
            </w:pPr>
            <w:r>
              <w:rPr>
                <w:rFonts w:hint="default" w:ascii="宋体"/>
                <w:sz w:val="24"/>
                <w:lang w:val="en-US"/>
              </w:rPr>
              <w:t>答:尊敬的投资者，您好！相关项目需要根据项目后续实施情况、满足收入确认条件后确认收入。感谢您的关注！</w:t>
            </w:r>
          </w:p>
          <w:p w14:paraId="7224AB42">
            <w:pPr>
              <w:spacing w:line="360" w:lineRule="auto"/>
              <w:rPr>
                <w:b/>
                <w:bCs/>
              </w:rPr>
            </w:pPr>
            <w:r>
              <w:rPr>
                <w:rFonts w:hint="eastAsia" w:ascii="宋体"/>
                <w:b/>
                <w:bCs/>
                <w:sz w:val="24"/>
                <w:lang w:val="en-US" w:eastAsia="zh-CN"/>
              </w:rPr>
              <w:t>6</w:t>
            </w:r>
            <w:r>
              <w:rPr>
                <w:rFonts w:hint="default" w:ascii="宋体"/>
                <w:b/>
                <w:bCs/>
                <w:sz w:val="24"/>
                <w:lang w:val="en-US"/>
              </w:rPr>
              <w:t>、PKI安全应用产品营收同比增长，是否意味着抗量子产品已经开始产生收入？通用安全产品的毛利率为什么大幅下降？是否意味着公司会从传统产品市场中逐步清仓退出？</w:t>
            </w:r>
          </w:p>
          <w:p w14:paraId="4064840A">
            <w:pPr>
              <w:spacing w:line="460" w:lineRule="auto"/>
              <w:rPr>
                <w:rFonts w:hint="default" w:ascii="宋体"/>
                <w:sz w:val="24"/>
                <w:lang w:val="en-US"/>
              </w:rPr>
            </w:pPr>
            <w:r>
              <w:rPr>
                <w:rFonts w:hint="default" w:ascii="宋体"/>
                <w:sz w:val="24"/>
                <w:lang w:val="en-US"/>
              </w:rPr>
              <w:t>答:尊敬的投资者，您好！2026年上半年，公司营业成本同比增长25.25%，主要系本期集成类业务占比提升所致。集成类业务通常涉及第三方软硬件产品的采购，成本规模相对较高，其占比提升在推高整体成本的同时，也相应拉低了综合毛利率水平。公司一方面将继续深耕传统优势领域，另一方面也会积极推进抗量子及AI安全相关业务，目前公司抗量子及AI安全相关业务收入占比较小，敬请投资者注意投资风险。感谢您的关注！</w:t>
            </w:r>
          </w:p>
          <w:p w14:paraId="204D490C">
            <w:pPr>
              <w:spacing w:line="360" w:lineRule="auto"/>
              <w:rPr>
                <w:b/>
                <w:bCs/>
              </w:rPr>
            </w:pPr>
            <w:r>
              <w:rPr>
                <w:rFonts w:hint="eastAsia" w:ascii="宋体"/>
                <w:b/>
                <w:bCs/>
                <w:sz w:val="24"/>
                <w:lang w:val="en-US" w:eastAsia="zh-CN"/>
              </w:rPr>
              <w:t>7</w:t>
            </w:r>
            <w:r>
              <w:rPr>
                <w:rFonts w:hint="default" w:ascii="宋体"/>
                <w:b/>
                <w:bCs/>
                <w:sz w:val="24"/>
                <w:lang w:val="en-US"/>
              </w:rPr>
              <w:t>、公司半年报中库存翻倍，合同负债增长近60%，是否说明公司今年订单情况良好，总体上营收较去年有所提升？</w:t>
            </w:r>
          </w:p>
          <w:p w14:paraId="102F217E">
            <w:pPr>
              <w:spacing w:line="460" w:lineRule="auto"/>
              <w:rPr>
                <w:rFonts w:hint="default" w:ascii="宋体"/>
                <w:sz w:val="24"/>
                <w:lang w:val="en-US"/>
              </w:rPr>
            </w:pPr>
            <w:r>
              <w:rPr>
                <w:rFonts w:hint="default" w:ascii="宋体"/>
                <w:sz w:val="24"/>
                <w:lang w:val="en-US"/>
              </w:rPr>
              <w:t>答:尊敬的投资者，您好！公司合同负债增长主要系预收项目款增加所致，反映公司中标项目及在手订单持续积累。2026年上半年，公司以上海为华东战略核心，落地多个优质项目，稳固本地市场优势。在金融领域深度参与银行业国家级抗量子专项课题，在军工领域于航空发动机、船舶、核工业等多个项目落地或启动，并完成全国22家省级烟草单位信息化安全项目落地，同时与多个海外金融机构签约实现产品出海。公司将持续推进在手项目的实施与交付，随着相关项目逐步验收结转，合同负债将陆续转化为收入。感谢您的关注。</w:t>
            </w:r>
          </w:p>
          <w:p w14:paraId="2E1A0E81">
            <w:pPr>
              <w:numPr>
                <w:ilvl w:val="0"/>
                <w:numId w:val="1"/>
              </w:numPr>
              <w:spacing w:line="360" w:lineRule="auto"/>
              <w:rPr>
                <w:rFonts w:hint="eastAsia" w:ascii="宋体"/>
                <w:b/>
                <w:bCs/>
                <w:sz w:val="24"/>
                <w:lang w:val="en-US" w:eastAsia="zh-CN"/>
              </w:rPr>
            </w:pPr>
            <w:r>
              <w:rPr>
                <w:rFonts w:hint="eastAsia" w:ascii="宋体"/>
                <w:b/>
                <w:bCs/>
                <w:sz w:val="24"/>
                <w:lang w:val="en-US" w:eastAsia="zh-CN"/>
              </w:rPr>
              <w:t>公司二季度的业绩是什么原因导致业绩下降的。</w:t>
            </w:r>
          </w:p>
          <w:p w14:paraId="00BD363D">
            <w:pPr>
              <w:numPr>
                <w:numId w:val="0"/>
              </w:numPr>
              <w:spacing w:line="360" w:lineRule="auto"/>
              <w:rPr>
                <w:rFonts w:hint="eastAsia" w:ascii="宋体"/>
                <w:sz w:val="24"/>
                <w:lang w:val="en-US" w:eastAsia="zh-CN"/>
              </w:rPr>
            </w:pPr>
            <w:r>
              <w:rPr>
                <w:rFonts w:hint="eastAsia" w:ascii="宋体"/>
                <w:sz w:val="24"/>
                <w:lang w:val="en-US" w:eastAsia="zh-CN"/>
              </w:rPr>
              <w:t>答:尊敬的投资者，您好！</w:t>
            </w:r>
            <w:bookmarkStart w:id="0" w:name="_GoBack"/>
            <w:bookmarkEnd w:id="0"/>
            <w:r>
              <w:rPr>
                <w:rFonts w:hint="eastAsia" w:ascii="宋体"/>
                <w:sz w:val="24"/>
                <w:lang w:val="en-US" w:eastAsia="zh-CN"/>
              </w:rPr>
              <w:t>2026年上半年，公司实现营业收入12,735.84万元，较上年同期增长10.09%，整体经营保持稳健；公司实现归属于上市公司股东的净利润-6,111.14万元，亏损较上年同期有所收窄。同时，公司合同负债9,890.01万元，同比增长55.97%，反映了公司在手订单的持续增长和客户需求的稳步回升，公司将持续推动在手订单转化为收入。感谢您的关注。</w:t>
            </w:r>
          </w:p>
          <w:p w14:paraId="6E1BE0DD">
            <w:pPr>
              <w:numPr>
                <w:ilvl w:val="0"/>
                <w:numId w:val="1"/>
              </w:numPr>
              <w:spacing w:line="360" w:lineRule="auto"/>
              <w:ind w:left="0" w:leftChars="0" w:firstLine="0" w:firstLineChars="0"/>
              <w:rPr>
                <w:rFonts w:hint="eastAsia" w:ascii="宋体"/>
                <w:b/>
                <w:bCs/>
                <w:sz w:val="24"/>
                <w:lang w:val="en-US" w:eastAsia="zh-CN"/>
              </w:rPr>
            </w:pPr>
            <w:r>
              <w:rPr>
                <w:rFonts w:hint="eastAsia" w:ascii="宋体"/>
                <w:b/>
                <w:bCs/>
                <w:sz w:val="24"/>
                <w:lang w:val="en-US" w:eastAsia="zh-CN"/>
              </w:rPr>
              <w:t>党中央、国务院关于党政机关、军工、央企、银行、保险、证券、烟草、能源等部门加快财政资金拨付，清理拖欠中小企业欠款的政策，对于公司1亿多的坏账计提是否有希望在2026年底前收回？</w:t>
            </w:r>
          </w:p>
          <w:p w14:paraId="047F3182">
            <w:pPr>
              <w:numPr>
                <w:numId w:val="0"/>
              </w:numPr>
              <w:spacing w:line="360" w:lineRule="auto"/>
              <w:ind w:leftChars="0"/>
              <w:rPr>
                <w:rFonts w:hint="eastAsia" w:ascii="宋体"/>
                <w:sz w:val="24"/>
                <w:lang w:val="en-US" w:eastAsia="zh-CN"/>
              </w:rPr>
            </w:pPr>
            <w:r>
              <w:rPr>
                <w:rFonts w:hint="eastAsia" w:ascii="宋体"/>
                <w:sz w:val="24"/>
                <w:lang w:val="en-US" w:eastAsia="zh-CN"/>
              </w:rPr>
              <w:t>答:尊敬的投资者，您好！公司高度重视应收账款管理工作，设有回款专项小组，和客户保持紧密沟通，持续跟进回款情况，感谢您的关注！</w:t>
            </w:r>
          </w:p>
          <w:p w14:paraId="56E767BD">
            <w:pPr>
              <w:numPr>
                <w:ilvl w:val="0"/>
                <w:numId w:val="1"/>
              </w:numPr>
              <w:spacing w:line="360" w:lineRule="auto"/>
              <w:ind w:left="0" w:leftChars="0" w:firstLine="0" w:firstLineChars="0"/>
              <w:rPr>
                <w:rFonts w:hint="eastAsia" w:ascii="宋体"/>
                <w:b/>
                <w:bCs/>
                <w:sz w:val="24"/>
                <w:lang w:val="en-US" w:eastAsia="zh-CN"/>
              </w:rPr>
            </w:pPr>
            <w:r>
              <w:rPr>
                <w:rFonts w:hint="eastAsia" w:ascii="宋体"/>
                <w:b/>
                <w:bCs/>
                <w:sz w:val="24"/>
                <w:lang w:val="en-US" w:eastAsia="zh-CN"/>
              </w:rPr>
              <w:t>公司在三季度的经营及资金回笼情况是否得到极大的改善？</w:t>
            </w:r>
          </w:p>
          <w:p w14:paraId="5CDC551D">
            <w:pPr>
              <w:numPr>
                <w:numId w:val="0"/>
              </w:numPr>
              <w:spacing w:line="360" w:lineRule="auto"/>
              <w:ind w:leftChars="0"/>
              <w:rPr>
                <w:rFonts w:hint="eastAsia" w:ascii="宋体"/>
                <w:sz w:val="24"/>
                <w:lang w:val="en-US" w:eastAsia="zh-CN"/>
              </w:rPr>
            </w:pPr>
            <w:r>
              <w:rPr>
                <w:rFonts w:hint="eastAsia" w:ascii="宋体"/>
                <w:sz w:val="24"/>
                <w:lang w:val="en-US" w:eastAsia="zh-CN"/>
              </w:rPr>
              <w:t>答:尊敬的投资者，您好！目前公司经营一切正常，资金情况良好，具体情况请关注公司定期报告，感谢您的关注！</w:t>
            </w:r>
          </w:p>
          <w:p w14:paraId="3C24A7DB">
            <w:pPr>
              <w:numPr>
                <w:ilvl w:val="0"/>
                <w:numId w:val="1"/>
              </w:numPr>
              <w:spacing w:line="360" w:lineRule="auto"/>
              <w:ind w:left="0" w:leftChars="0" w:firstLine="0" w:firstLineChars="0"/>
              <w:rPr>
                <w:rFonts w:hint="eastAsia" w:ascii="宋体"/>
                <w:b/>
                <w:bCs/>
                <w:sz w:val="24"/>
                <w:lang w:val="en-US" w:eastAsia="zh-CN"/>
              </w:rPr>
            </w:pPr>
            <w:r>
              <w:rPr>
                <w:rFonts w:hint="eastAsia" w:ascii="宋体"/>
                <w:b/>
                <w:bCs/>
                <w:sz w:val="24"/>
                <w:lang w:val="en-US" w:eastAsia="zh-CN"/>
              </w:rPr>
              <w:t>展望4季度的经营状况，公司在2026年彻底摆脱连续亏损的局面。</w:t>
            </w:r>
          </w:p>
          <w:p w14:paraId="6E0215E2">
            <w:pPr>
              <w:numPr>
                <w:numId w:val="0"/>
              </w:numPr>
              <w:spacing w:line="360" w:lineRule="auto"/>
              <w:ind w:leftChars="0"/>
              <w:rPr>
                <w:rFonts w:hint="default" w:ascii="宋体"/>
                <w:b/>
                <w:bCs/>
                <w:sz w:val="24"/>
                <w:lang w:val="en-US" w:eastAsia="zh-CN"/>
              </w:rPr>
            </w:pPr>
            <w:r>
              <w:rPr>
                <w:rFonts w:hint="eastAsia" w:ascii="宋体"/>
                <w:sz w:val="24"/>
                <w:lang w:val="en-US" w:eastAsia="zh-CN"/>
              </w:rPr>
              <w:t>答:尊敬的投资者，您好！</w:t>
            </w:r>
            <w:r>
              <w:rPr>
                <w:rFonts w:hint="default" w:ascii="宋体"/>
                <w:b w:val="0"/>
                <w:bCs w:val="0"/>
                <w:sz w:val="24"/>
                <w:lang w:val="en-US" w:eastAsia="zh-CN"/>
              </w:rPr>
              <w:t>2026年上半年公司亏损较上年同期已有所收窄。公司将持续聚焦主业、强化执行、降本增效，努力改善全年经营业绩，具体经营数据请以公司定期报告为准。感谢您的关注！</w:t>
            </w:r>
          </w:p>
        </w:tc>
      </w:tr>
    </w:tbl>
    <w:p w14:paraId="61881808">
      <w:pPr>
        <w:rPr>
          <w:rFonts w:hint="eastAsia"/>
        </w:rPr>
      </w:pPr>
    </w:p>
    <w:p w14:paraId="4805E08D"/>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CE4BF">
    <w:pPr>
      <w:pStyle w:val="2"/>
      <w:tabs>
        <w:tab w:val="clear" w:pos="4153"/>
      </w:tabs>
      <w:jc w:val="right"/>
    </w:pPr>
    <w:r>
      <w:rPr>
        <w:rFonts w:hint="eastAsia"/>
      </w:rPr>
      <w:t>格尔软件股份有限公司投资者关系活动记录表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F587C"/>
    <w:multiLevelType w:val="singleLevel"/>
    <w:tmpl w:val="BFCF587C"/>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NTlhNGJhZTk1YmZkMTc2MTM0MTg2MGI3NTFmMTEifQ=="/>
  </w:docVars>
  <w:rsids>
    <w:rsidRoot w:val="00000000"/>
    <w:rsid w:val="13A770E3"/>
    <w:rsid w:val="1CB2496B"/>
    <w:rsid w:val="2FB56D4A"/>
    <w:rsid w:val="40B468C9"/>
    <w:rsid w:val="4C5A2A4E"/>
    <w:rsid w:val="59335095"/>
    <w:rsid w:val="61B42C51"/>
    <w:rsid w:val="670E1B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4">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
    <w:name w:val="Hyperlink"/>
    <w:basedOn w:val="5"/>
    <w:unhideWhenUsed/>
    <w:qFormat/>
    <w:uiPriority w:val="99"/>
    <w:rPr>
      <w:color w:val="0563C1"/>
      <w:u w:val="single"/>
    </w:rPr>
  </w:style>
  <w:style w:type="paragraph" w:customStyle="1" w:styleId="7">
    <w:name w:val="_Style 6"/>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1529</Words>
  <Characters>1639</Characters>
  <Lines>0</Lines>
  <Paragraphs>0</Paragraphs>
  <TotalTime>3</TotalTime>
  <ScaleCrop>false</ScaleCrop>
  <LinksUpToDate>false</LinksUpToDate>
  <CharactersWithSpaces>1671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2023-06-30T02:03:00Z</dcterms:created>
  <dc:creator>Administrator</dc:creator>
  <cp:lastModifiedBy>阿袁</cp:lastModifiedBy>
  <dcterms:modified xsi:type="dcterms:W3CDTF">2026-09-07T07:33:59Z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6529E88A5DCA41BD857571173E9D4273_13</vt:lpwstr>
  </property>
  <property fmtid="{D5CDD505-2E9C-101B-9397-08002B2CF9AE}" pid="4" name="KSOTemplateDocerSaveRecord">
    <vt:lpwstr>eyJoZGlkIjoiNjdiMDJlOTIzZDdhN2U5M2NiZjJjZmQxYTFiMWU5ZWEiLCJ1c2VySWQiOiI3Mjk5MTY2NzUifQ==</vt:lpwstr>
  </property>
</Properties>
</file>