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A81DA7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健尔康医疗科技股份有限公司</w:t>
      </w:r>
    </w:p>
    <w:p w14:paraId="2E8677E5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投资者关系活动记录表</w:t>
      </w:r>
    </w:p>
    <w:p w14:paraId="77B25911">
      <w:pPr>
        <w:spacing w:line="360" w:lineRule="auto"/>
        <w:rPr>
          <w:b/>
          <w:bCs/>
          <w:color w:val="000000"/>
        </w:rPr>
      </w:pPr>
      <w:r>
        <w:rPr>
          <w:rFonts w:hint="eastAsia"/>
          <w:b/>
          <w:bCs/>
          <w:szCs w:val="24"/>
        </w:rPr>
        <w:t>证券简称：</w:t>
      </w:r>
      <w:r>
        <w:rPr>
          <w:rFonts w:hint="eastAsia"/>
          <w:b/>
          <w:bCs/>
          <w:color w:val="000000"/>
        </w:rPr>
        <w:t>健尔康</w:t>
      </w:r>
      <w:r>
        <w:rPr>
          <w:rFonts w:hint="eastAsia"/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   </w:t>
      </w:r>
      <w:r>
        <w:rPr>
          <w:rFonts w:hint="eastAsia"/>
          <w:b/>
          <w:bCs/>
          <w:szCs w:val="24"/>
        </w:rPr>
        <w:t>证券代码：</w:t>
      </w:r>
      <w:r>
        <w:rPr>
          <w:rFonts w:hint="eastAsia"/>
          <w:b/>
          <w:bCs/>
          <w:color w:val="000000"/>
        </w:rPr>
        <w:t>603205</w:t>
      </w:r>
      <w:r>
        <w:rPr>
          <w:b/>
          <w:bCs/>
          <w:szCs w:val="24"/>
        </w:rPr>
        <w:t xml:space="preserve">      </w:t>
      </w:r>
      <w:r>
        <w:rPr>
          <w:rFonts w:hint="eastAsia"/>
          <w:b/>
          <w:bCs/>
          <w:szCs w:val="24"/>
        </w:rPr>
        <w:t>编号：</w:t>
      </w:r>
      <w:r>
        <w:rPr>
          <w:rFonts w:hint="eastAsia"/>
          <w:b/>
          <w:bCs/>
          <w:color w:val="000000"/>
        </w:rPr>
        <w:t>2026-001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5891"/>
      </w:tblGrid>
      <w:tr w14:paraId="13DD6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00FC8F4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</w:t>
            </w:r>
          </w:p>
          <w:p w14:paraId="489D0225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类别</w:t>
            </w:r>
          </w:p>
        </w:tc>
        <w:tc>
          <w:tcPr>
            <w:tcW w:w="5891" w:type="dxa"/>
            <w:vAlign w:val="center"/>
          </w:tcPr>
          <w:p w14:paraId="4A68268C">
            <w:pPr>
              <w:spacing w:line="360" w:lineRule="auto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 xml:space="preserve">□特定对象调研 </w:t>
            </w:r>
            <w:r>
              <w:rPr>
                <w:rFonts w:ascii="宋体" w:hAnsi="宋体"/>
                <w:szCs w:val="24"/>
              </w:rPr>
              <w:t xml:space="preserve">   </w:t>
            </w:r>
            <w:r>
              <w:rPr>
                <w:rFonts w:hint="eastAsia" w:ascii="宋体" w:hAnsi="宋体"/>
                <w:szCs w:val="24"/>
              </w:rPr>
              <w:t>□分析师会议</w:t>
            </w:r>
          </w:p>
          <w:p w14:paraId="189BB249">
            <w:pPr>
              <w:spacing w:line="360" w:lineRule="auto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 xml:space="preserve">□媒体采访 </w:t>
            </w:r>
            <w:r>
              <w:rPr>
                <w:rFonts w:ascii="宋体" w:hAnsi="宋体"/>
                <w:szCs w:val="24"/>
              </w:rPr>
              <w:t xml:space="preserve">       </w:t>
            </w:r>
            <w:r>
              <w:rPr>
                <w:rFonts w:hint="eastAsia" w:ascii="宋体" w:hAnsi="宋体"/>
                <w:szCs w:val="24"/>
              </w:rPr>
              <w:t>□业绩说明会</w:t>
            </w:r>
          </w:p>
          <w:p w14:paraId="281363CD">
            <w:pPr>
              <w:spacing w:line="360" w:lineRule="auto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 xml:space="preserve">□新闻发布会 </w:t>
            </w:r>
            <w:r>
              <w:rPr>
                <w:rFonts w:ascii="宋体" w:hAnsi="宋体"/>
                <w:szCs w:val="24"/>
              </w:rPr>
              <w:t xml:space="preserve">     </w:t>
            </w:r>
            <w:r>
              <w:rPr>
                <w:rFonts w:hint="eastAsia" w:ascii="宋体" w:hAnsi="宋体"/>
                <w:szCs w:val="24"/>
              </w:rPr>
              <w:t>□路演活动</w:t>
            </w:r>
          </w:p>
          <w:p w14:paraId="0AE87BAE">
            <w:pPr>
              <w:spacing w:line="360" w:lineRule="auto"/>
              <w:rPr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☑现场参观□其他（</w:t>
            </w:r>
            <w:r>
              <w:rPr>
                <w:rFonts w:hint="eastAsia" w:ascii="宋体" w:hAnsi="宋体"/>
                <w:szCs w:val="24"/>
                <w:u w:val="thick"/>
              </w:rPr>
              <w:t>请文字说明其他活动内容</w:t>
            </w:r>
            <w:r>
              <w:rPr>
                <w:rFonts w:hint="eastAsia" w:ascii="宋体" w:hAnsi="宋体"/>
                <w:szCs w:val="24"/>
              </w:rPr>
              <w:t>）</w:t>
            </w:r>
          </w:p>
        </w:tc>
      </w:tr>
      <w:tr w14:paraId="41E8D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atLeast"/>
        </w:trPr>
        <w:tc>
          <w:tcPr>
            <w:tcW w:w="2405" w:type="dxa"/>
            <w:vAlign w:val="center"/>
          </w:tcPr>
          <w:p w14:paraId="3069249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参与单位名称</w:t>
            </w:r>
          </w:p>
          <w:p w14:paraId="4CAD654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及人员姓名</w:t>
            </w:r>
          </w:p>
        </w:tc>
        <w:tc>
          <w:tcPr>
            <w:tcW w:w="5891" w:type="dxa"/>
            <w:vAlign w:val="center"/>
          </w:tcPr>
          <w:p w14:paraId="33127BDB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西部证券-孙阿敏、陆伏崴</w:t>
            </w:r>
          </w:p>
          <w:p w14:paraId="67264318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color w:val="000000"/>
              </w:rPr>
              <w:t>中泰证券-刘</w:t>
            </w:r>
            <w:r>
              <w:rPr>
                <w:rFonts w:hint="eastAsia"/>
                <w:color w:val="000000"/>
                <w:lang w:val="en-US" w:eastAsia="zh-CN"/>
              </w:rPr>
              <w:t>照</w:t>
            </w:r>
            <w:r>
              <w:rPr>
                <w:rFonts w:hint="eastAsia"/>
                <w:color w:val="000000"/>
              </w:rPr>
              <w:t>芊</w:t>
            </w:r>
          </w:p>
        </w:tc>
      </w:tr>
      <w:tr w14:paraId="475D8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C3E30F7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时间</w:t>
            </w:r>
          </w:p>
        </w:tc>
        <w:tc>
          <w:tcPr>
            <w:tcW w:w="5891" w:type="dxa"/>
            <w:vAlign w:val="center"/>
          </w:tcPr>
          <w:p w14:paraId="18E94089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color w:val="000000"/>
              </w:rPr>
              <w:t xml:space="preserve">2026年9月9日 </w:t>
            </w:r>
          </w:p>
        </w:tc>
      </w:tr>
      <w:tr w14:paraId="7EEFF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2405" w:type="dxa"/>
            <w:vAlign w:val="center"/>
          </w:tcPr>
          <w:p w14:paraId="69594587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地点</w:t>
            </w:r>
          </w:p>
        </w:tc>
        <w:tc>
          <w:tcPr>
            <w:tcW w:w="5891" w:type="dxa"/>
            <w:vAlign w:val="center"/>
          </w:tcPr>
          <w:p w14:paraId="20CD4C2C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color w:val="000000"/>
              </w:rPr>
              <w:t>江苏省常州市金坛区直溪镇工业集中区健尔康路1号</w:t>
            </w:r>
          </w:p>
        </w:tc>
      </w:tr>
      <w:tr w14:paraId="08D58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580A837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上市公司接待人员</w:t>
            </w:r>
          </w:p>
          <w:p w14:paraId="2661A0A1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姓名</w:t>
            </w:r>
          </w:p>
        </w:tc>
        <w:tc>
          <w:tcPr>
            <w:tcW w:w="5891" w:type="dxa"/>
            <w:vAlign w:val="center"/>
          </w:tcPr>
          <w:p w14:paraId="4845A3BC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董事长、总经理：陈国平 </w:t>
            </w:r>
          </w:p>
          <w:p w14:paraId="6CABD084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财务总监：朱云雷 </w:t>
            </w:r>
          </w:p>
          <w:p w14:paraId="0A5C0FC4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证券事务代表：唐瑄</w:t>
            </w:r>
          </w:p>
        </w:tc>
      </w:tr>
      <w:tr w14:paraId="5206F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6" w:hRule="atLeast"/>
        </w:trPr>
        <w:tc>
          <w:tcPr>
            <w:tcW w:w="2405" w:type="dxa"/>
            <w:vAlign w:val="center"/>
          </w:tcPr>
          <w:p w14:paraId="0378EA3F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投资者关系活动主要内容介绍</w:t>
            </w:r>
          </w:p>
        </w:tc>
        <w:tc>
          <w:tcPr>
            <w:tcW w:w="5891" w:type="dxa"/>
            <w:vAlign w:val="center"/>
          </w:tcPr>
          <w:p w14:paraId="7D90B8A8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Q1：公司美国出口占比较高，如何应对美国关税风险？</w:t>
            </w:r>
          </w:p>
          <w:p w14:paraId="572DF0A6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A：</w:t>
            </w:r>
            <w:r>
              <w:rPr>
                <w:rFonts w:ascii="宋体" w:hAnsi="宋体" w:cs="宋体"/>
                <w:szCs w:val="24"/>
              </w:rPr>
              <w:t>公司</w:t>
            </w:r>
            <w:r>
              <w:rPr>
                <w:rFonts w:hint="eastAsia" w:ascii="宋体" w:hAnsi="宋体" w:cs="宋体"/>
                <w:szCs w:val="24"/>
              </w:rPr>
              <w:t>境外销售采用OEM直销方式，</w:t>
            </w:r>
            <w:r>
              <w:rPr>
                <w:rFonts w:ascii="宋体" w:hAnsi="宋体" w:cs="宋体"/>
                <w:szCs w:val="24"/>
              </w:rPr>
              <w:t>对</w:t>
            </w:r>
            <w:r>
              <w:rPr>
                <w:rFonts w:hint="eastAsia" w:ascii="宋体" w:hAnsi="宋体" w:cs="宋体"/>
                <w:szCs w:val="24"/>
              </w:rPr>
              <w:t>美国出口</w:t>
            </w:r>
            <w:r>
              <w:rPr>
                <w:rFonts w:ascii="宋体" w:hAnsi="宋体" w:cs="宋体"/>
                <w:szCs w:val="24"/>
              </w:rPr>
              <w:t>业务采用FOB</w:t>
            </w:r>
            <w:r>
              <w:rPr>
                <w:rFonts w:hint="eastAsia" w:ascii="宋体" w:hAnsi="宋体" w:cs="宋体"/>
                <w:szCs w:val="24"/>
              </w:rPr>
              <w:t>贸易方式</w:t>
            </w:r>
            <w:r>
              <w:rPr>
                <w:rFonts w:ascii="宋体" w:hAnsi="宋体" w:cs="宋体"/>
                <w:szCs w:val="24"/>
              </w:rPr>
              <w:t>，</w:t>
            </w:r>
            <w:r>
              <w:rPr>
                <w:rFonts w:hint="eastAsia" w:ascii="宋体" w:hAnsi="宋体" w:cs="宋体"/>
                <w:szCs w:val="24"/>
              </w:rPr>
              <w:t>由客户承担</w:t>
            </w:r>
            <w:r>
              <w:rPr>
                <w:rFonts w:ascii="宋体" w:hAnsi="宋体" w:cs="宋体"/>
                <w:szCs w:val="24"/>
              </w:rPr>
              <w:t>关税、海运费</w:t>
            </w:r>
            <w:r>
              <w:rPr>
                <w:rFonts w:hint="eastAsia" w:ascii="宋体" w:hAnsi="宋体" w:cs="宋体"/>
                <w:szCs w:val="24"/>
              </w:rPr>
              <w:t>。</w:t>
            </w:r>
            <w:r>
              <w:rPr>
                <w:rFonts w:ascii="宋体" w:hAnsi="宋体" w:cs="宋体"/>
                <w:szCs w:val="24"/>
              </w:rPr>
              <w:t>同时公司多措并举防范贸易壁垒风险：①布局越南生产基地，推动部分产能外迁，</w:t>
            </w:r>
            <w:r>
              <w:rPr>
                <w:rFonts w:hint="eastAsia" w:ascii="宋体" w:hAnsi="宋体" w:cs="宋体"/>
                <w:szCs w:val="24"/>
                <w:lang w:val="en-US" w:eastAsia="zh-CN"/>
              </w:rPr>
              <w:t>有效分散</w:t>
            </w:r>
            <w:r>
              <w:rPr>
                <w:rFonts w:ascii="宋体" w:hAnsi="宋体" w:cs="宋体"/>
                <w:szCs w:val="24"/>
              </w:rPr>
              <w:t>潜在关税影响；②持续推进市场多元化战略，降</w:t>
            </w:r>
            <w:bookmarkStart w:id="0" w:name="_GoBack"/>
            <w:r>
              <w:rPr>
                <w:rFonts w:ascii="宋体" w:hAnsi="宋体" w:cs="宋体"/>
                <w:szCs w:val="24"/>
                <w:lang w:val="en-US"/>
              </w:rPr>
              <w:t>低对</w:t>
            </w:r>
            <w:bookmarkEnd w:id="0"/>
            <w:r>
              <w:rPr>
                <w:rFonts w:ascii="宋体" w:hAnsi="宋体" w:cs="宋体"/>
                <w:szCs w:val="24"/>
              </w:rPr>
              <w:t>美国单一市场依赖，重点拓展欧洲、东南亚等海外市场；③内部持续提质增效、</w:t>
            </w:r>
            <w:r>
              <w:rPr>
                <w:rFonts w:hint="eastAsia" w:ascii="宋体" w:hAnsi="宋体" w:cs="宋体"/>
                <w:szCs w:val="24"/>
              </w:rPr>
              <w:t>加强资源配置，提升运营管理水平</w:t>
            </w:r>
            <w:r>
              <w:rPr>
                <w:rFonts w:ascii="宋体" w:hAnsi="宋体" w:cs="宋体"/>
                <w:szCs w:val="24"/>
              </w:rPr>
              <w:t>，并与客户建立灵活的价格协商机制，共同分担外部压力。</w:t>
            </w:r>
          </w:p>
          <w:p w14:paraId="62140BBC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Q2：公司未来业务增长抓手与新产品方向是什么？</w:t>
            </w:r>
          </w:p>
          <w:p w14:paraId="00C4EB32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A：</w:t>
            </w:r>
            <w:r>
              <w:rPr>
                <w:rFonts w:ascii="宋体" w:hAnsi="宋体" w:cs="宋体"/>
                <w:szCs w:val="24"/>
              </w:rPr>
              <w:t>公司持续聚焦医用敷料</w:t>
            </w:r>
            <w:r>
              <w:rPr>
                <w:rFonts w:hint="eastAsia" w:ascii="宋体" w:hAnsi="宋体" w:cs="宋体"/>
                <w:szCs w:val="24"/>
              </w:rPr>
              <w:t>等</w:t>
            </w:r>
            <w:r>
              <w:rPr>
                <w:rFonts w:ascii="宋体" w:hAnsi="宋体" w:cs="宋体"/>
                <w:szCs w:val="24"/>
              </w:rPr>
              <w:t>一次性耗材主业。未来增长主要依托新项目落地与多渠道拓展：一是深挖存量大客户</w:t>
            </w:r>
            <w:r>
              <w:rPr>
                <w:rFonts w:hint="eastAsia" w:ascii="宋体" w:hAnsi="宋体" w:cs="宋体"/>
                <w:szCs w:val="24"/>
              </w:rPr>
              <w:t>新产品需求</w:t>
            </w:r>
            <w:r>
              <w:rPr>
                <w:rFonts w:ascii="宋体" w:hAnsi="宋体" w:cs="宋体"/>
                <w:szCs w:val="24"/>
              </w:rPr>
              <w:t>，推动新增产品品类导入；二是加快新兴海外市场开发；三是拓展国内医院、药房及电商渠道。新产品方面，重点布局</w:t>
            </w:r>
            <w:r>
              <w:rPr>
                <w:rFonts w:hint="eastAsia" w:ascii="宋体" w:hAnsi="宋体" w:cs="宋体"/>
                <w:szCs w:val="24"/>
                <w:lang w:val="en-US" w:eastAsia="zh-CN"/>
              </w:rPr>
              <w:t>先进伤口</w:t>
            </w:r>
            <w:r>
              <w:rPr>
                <w:rFonts w:ascii="宋体" w:hAnsi="宋体" w:cs="宋体"/>
                <w:szCs w:val="24"/>
              </w:rPr>
              <w:t>敷料（AWC）、清洁消毒产品、高分子医用耗材，持续提升高附加值产品收入占比。</w:t>
            </w:r>
            <w:r>
              <w:rPr>
                <w:rFonts w:hint="eastAsia"/>
              </w:rPr>
              <w:t>上述新产品研发及市场拓展进度受行业政策、市场环境等因素影响，存在不确定性，具体以公司定期报告披露为准。</w:t>
            </w:r>
          </w:p>
          <w:p w14:paraId="55EC88F3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Q3：公司有无并购规划？</w:t>
            </w:r>
          </w:p>
          <w:p w14:paraId="568FA173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A：</w:t>
            </w:r>
            <w:r>
              <w:rPr>
                <w:rFonts w:ascii="宋体" w:hAnsi="宋体" w:cs="宋体"/>
                <w:szCs w:val="24"/>
              </w:rPr>
              <w:t>公司现阶段战略重心聚焦医用耗材主业。持续跟踪行业发展态势，积极寻找与现有业务</w:t>
            </w:r>
            <w:r>
              <w:rPr>
                <w:rFonts w:hint="eastAsia" w:ascii="宋体" w:hAnsi="宋体" w:cs="宋体"/>
                <w:szCs w:val="24"/>
              </w:rPr>
              <w:t>具备显著协同效应的潜在标的</w:t>
            </w:r>
            <w:r>
              <w:rPr>
                <w:rFonts w:ascii="宋体" w:hAnsi="宋体" w:cs="宋体"/>
                <w:szCs w:val="24"/>
              </w:rPr>
              <w:t>，择机审慎</w:t>
            </w:r>
            <w:r>
              <w:rPr>
                <w:rFonts w:hint="eastAsia" w:ascii="宋体" w:hAnsi="宋体" w:cs="宋体"/>
                <w:szCs w:val="24"/>
              </w:rPr>
              <w:t>推进外延发展战略</w:t>
            </w:r>
            <w:r>
              <w:rPr>
                <w:rFonts w:ascii="宋体" w:hAnsi="宋体" w:cs="宋体"/>
                <w:szCs w:val="24"/>
              </w:rPr>
              <w:t>。</w:t>
            </w:r>
          </w:p>
          <w:p w14:paraId="0BA183B1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Q</w:t>
            </w:r>
            <w:r>
              <w:rPr>
                <w:szCs w:val="24"/>
              </w:rPr>
              <w:t>4</w:t>
            </w:r>
            <w:r>
              <w:rPr>
                <w:rFonts w:hint="eastAsia"/>
                <w:szCs w:val="24"/>
              </w:rPr>
              <w:t>：汇率波动对出口业务影响大吗，有无对冲手段？</w:t>
            </w:r>
          </w:p>
          <w:p w14:paraId="50BF32A6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szCs w:val="24"/>
              </w:rPr>
              <w:t>A：公司部分外销业务以人民币结算，公司承受汇率风险主要与以美元结算的外销业务有关，</w:t>
            </w:r>
            <w:r>
              <w:rPr>
                <w:rFonts w:hint="eastAsia" w:ascii="宋体" w:hAnsi="宋体" w:cs="宋体"/>
                <w:szCs w:val="24"/>
              </w:rPr>
              <w:t>公司实时关注汇率波动对出口业务的影响，</w:t>
            </w:r>
            <w:r>
              <w:rPr>
                <w:rFonts w:ascii="宋体" w:hAnsi="宋体" w:cs="宋体"/>
                <w:szCs w:val="24"/>
              </w:rPr>
              <w:t>目前公司</w:t>
            </w:r>
            <w:r>
              <w:rPr>
                <w:rFonts w:hint="eastAsia" w:ascii="宋体" w:hAnsi="宋体" w:cs="宋体"/>
                <w:szCs w:val="24"/>
              </w:rPr>
              <w:t>尚未</w:t>
            </w:r>
            <w:r>
              <w:rPr>
                <w:rFonts w:ascii="宋体" w:hAnsi="宋体" w:cs="宋体"/>
                <w:szCs w:val="24"/>
              </w:rPr>
              <w:t>开展外汇套期保值</w:t>
            </w:r>
            <w:r>
              <w:rPr>
                <w:rFonts w:hint="eastAsia" w:ascii="宋体" w:hAnsi="宋体" w:cs="宋体"/>
                <w:szCs w:val="24"/>
              </w:rPr>
              <w:t>业务</w:t>
            </w:r>
            <w:r>
              <w:rPr>
                <w:rFonts w:ascii="宋体" w:hAnsi="宋体" w:cs="宋体"/>
                <w:szCs w:val="24"/>
              </w:rPr>
              <w:t>，主要通过商务结算条款安排，</w:t>
            </w:r>
            <w:r>
              <w:rPr>
                <w:rFonts w:hint="eastAsia" w:ascii="宋体" w:hAnsi="宋体" w:cs="宋体"/>
                <w:szCs w:val="24"/>
                <w:lang w:val="en-US" w:eastAsia="zh-CN"/>
              </w:rPr>
              <w:t>降低</w:t>
            </w:r>
            <w:r>
              <w:rPr>
                <w:rFonts w:ascii="宋体" w:hAnsi="宋体" w:cs="宋体"/>
                <w:szCs w:val="24"/>
              </w:rPr>
              <w:t>部分汇率波动风险。</w:t>
            </w:r>
          </w:p>
        </w:tc>
      </w:tr>
      <w:tr w14:paraId="65FC0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2" w:hRule="atLeast"/>
        </w:trPr>
        <w:tc>
          <w:tcPr>
            <w:tcW w:w="2405" w:type="dxa"/>
            <w:vAlign w:val="center"/>
          </w:tcPr>
          <w:p w14:paraId="70BB2AF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附件清单（如有）</w:t>
            </w:r>
          </w:p>
        </w:tc>
        <w:tc>
          <w:tcPr>
            <w:tcW w:w="5891" w:type="dxa"/>
            <w:vAlign w:val="center"/>
          </w:tcPr>
          <w:p w14:paraId="576C04AB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color w:val="000000"/>
              </w:rPr>
              <w:t>无</w:t>
            </w:r>
          </w:p>
        </w:tc>
      </w:tr>
      <w:tr w14:paraId="1FFFC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vAlign w:val="center"/>
          </w:tcPr>
          <w:p w14:paraId="1037A1C3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日期</w:t>
            </w:r>
          </w:p>
        </w:tc>
        <w:tc>
          <w:tcPr>
            <w:tcW w:w="5891" w:type="dxa"/>
            <w:vAlign w:val="center"/>
          </w:tcPr>
          <w:p w14:paraId="414570A9">
            <w:pPr>
              <w:spacing w:line="360" w:lineRule="auto"/>
              <w:rPr>
                <w:szCs w:val="24"/>
              </w:rPr>
            </w:pPr>
            <w:r>
              <w:rPr>
                <w:rFonts w:hint="eastAsia"/>
                <w:color w:val="000000"/>
              </w:rPr>
              <w:t>2026.9.9</w:t>
            </w:r>
          </w:p>
        </w:tc>
      </w:tr>
    </w:tbl>
    <w:p w14:paraId="4B9152FD">
      <w:pPr>
        <w:spacing w:line="360" w:lineRule="auto"/>
        <w:rPr>
          <w:color w:val="000000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E46"/>
    <w:rsid w:val="0001611D"/>
    <w:rsid w:val="000B0DC7"/>
    <w:rsid w:val="000B61FC"/>
    <w:rsid w:val="000D2872"/>
    <w:rsid w:val="000E0DA6"/>
    <w:rsid w:val="000E1009"/>
    <w:rsid w:val="0013161B"/>
    <w:rsid w:val="00171B17"/>
    <w:rsid w:val="001F0F88"/>
    <w:rsid w:val="0020500F"/>
    <w:rsid w:val="003A3A46"/>
    <w:rsid w:val="003F3C92"/>
    <w:rsid w:val="00444FD9"/>
    <w:rsid w:val="004754E9"/>
    <w:rsid w:val="004E40CA"/>
    <w:rsid w:val="004E4B5E"/>
    <w:rsid w:val="004F3F75"/>
    <w:rsid w:val="00513BB5"/>
    <w:rsid w:val="00536145"/>
    <w:rsid w:val="00555CD0"/>
    <w:rsid w:val="00597BE3"/>
    <w:rsid w:val="006C6AB3"/>
    <w:rsid w:val="0072436B"/>
    <w:rsid w:val="00773E29"/>
    <w:rsid w:val="00880942"/>
    <w:rsid w:val="00983817"/>
    <w:rsid w:val="009F4679"/>
    <w:rsid w:val="00A300B7"/>
    <w:rsid w:val="00AF3539"/>
    <w:rsid w:val="00AF6FEE"/>
    <w:rsid w:val="00B71EE6"/>
    <w:rsid w:val="00B748D0"/>
    <w:rsid w:val="00BF58EA"/>
    <w:rsid w:val="00D6370F"/>
    <w:rsid w:val="00DC0644"/>
    <w:rsid w:val="00DC5E46"/>
    <w:rsid w:val="00DF0742"/>
    <w:rsid w:val="00E9000F"/>
    <w:rsid w:val="00EA6C9A"/>
    <w:rsid w:val="00FA7DB1"/>
    <w:rsid w:val="163045C2"/>
    <w:rsid w:val="215B6136"/>
    <w:rsid w:val="26712CE6"/>
    <w:rsid w:val="3051630B"/>
    <w:rsid w:val="4A5E0DC3"/>
    <w:rsid w:val="4B7172DE"/>
    <w:rsid w:val="62422357"/>
    <w:rsid w:val="7CF2186A"/>
    <w:rsid w:val="7EED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cs="Times New Roman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</w:rPr>
  </w:style>
  <w:style w:type="paragraph" w:styleId="8">
    <w:name w:val="annotation subject"/>
    <w:basedOn w:val="3"/>
    <w:next w:val="3"/>
    <w:link w:val="17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3">
    <w:name w:val="批注框文本 字符"/>
    <w:basedOn w:val="11"/>
    <w:link w:val="4"/>
    <w:semiHidden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4">
    <w:name w:val="页眉 字符"/>
    <w:basedOn w:val="11"/>
    <w:link w:val="6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5">
    <w:name w:val="页脚 字符"/>
    <w:basedOn w:val="11"/>
    <w:link w:val="5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6">
    <w:name w:val="批注文字 字符"/>
    <w:basedOn w:val="11"/>
    <w:link w:val="3"/>
    <w:semiHidden/>
    <w:qFormat/>
    <w:uiPriority w:val="99"/>
    <w:rPr>
      <w:rFonts w:ascii="Times New Roman" w:hAnsi="Times New Roman" w:eastAsia="宋体"/>
      <w:kern w:val="2"/>
      <w:sz w:val="24"/>
      <w:szCs w:val="22"/>
    </w:rPr>
  </w:style>
  <w:style w:type="character" w:customStyle="1" w:styleId="17">
    <w:name w:val="批注主题 字符"/>
    <w:basedOn w:val="16"/>
    <w:link w:val="8"/>
    <w:semiHidden/>
    <w:qFormat/>
    <w:uiPriority w:val="99"/>
    <w:rPr>
      <w:rFonts w:ascii="Times New Roman" w:hAnsi="Times New Roman" w:eastAsia="宋体"/>
      <w:b/>
      <w:bCs/>
      <w:kern w:val="2"/>
      <w:sz w:val="24"/>
      <w:szCs w:val="22"/>
    </w:rPr>
  </w:style>
  <w:style w:type="paragraph" w:customStyle="1" w:styleId="18">
    <w:name w:val="Revision"/>
    <w:hidden/>
    <w:unhideWhenUsed/>
    <w:qFormat/>
    <w:uiPriority w:val="99"/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0ea49f78-f5db-4f1e-a9ac-3277c72454e0</errorID>
      <errorWord>低</errorWord>
      <group>L1_Word</group>
      <groupName>字词问题</groupName>
      <ability>L2_Typo</ability>
      <abilityName>字词错误</abilityName>
      <candidateList>
        <item>低对</item>
      </candidateList>
      <explain/>
      <paraID>572DF0A6</paraID>
      <start>108</start>
      <end>110</end>
      <status>modified</status>
      <modifiedWord>低对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33f3381-529f-4c26-8a0d-b5fc1049bf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860</Words>
  <Characters>892</Characters>
  <Lines>31</Lines>
  <Paragraphs>38</Paragraphs>
  <TotalTime>2</TotalTime>
  <ScaleCrop>false</ScaleCrop>
  <LinksUpToDate>false</LinksUpToDate>
  <CharactersWithSpaces>923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2026-09-10T07:59:00Z</dcterms:created>
  <dc:creator>荣大-李雷</dc:creator>
  <cp:lastModifiedBy>唐瑄</cp:lastModifiedBy>
  <dcterms:modified xsi:type="dcterms:W3CDTF">2026-09-11T08:11:41Z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C27B8F9F55144678B2CD2F41D754BCA4_13</vt:lpwstr>
  </property>
  <property fmtid="{D5CDD505-2E9C-101B-9397-08002B2CF9AE}" pid="4" name="KSOTemplateDocerSaveRecord">
    <vt:lpwstr>eyJoZGlkIjoiMjU1MmE2ZDVjMjA4Mzc1ODU0MjBiNjJjNGEwMjFhNTMiLCJ1c2VySWQiOiIxNjIzOTMxMzQ3In0=</vt:lpwstr>
  </property>
</Properties>
</file>