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2303F">
      <w:pPr>
        <w:pStyle w:val="2"/>
        <w:rPr>
          <w:rFonts w:ascii="Times New Roman" w:hAnsi="Times New Roman" w:eastAsia="宋体" w:cs="Times New Roman"/>
          <w:sz w:val="20"/>
          <w:szCs w:val="20"/>
          <w:lang w:val="en-US"/>
        </w:rPr>
      </w:pPr>
      <w:r>
        <w:rPr>
          <w:rFonts w:ascii="Times New Roman" w:hAnsi="Times New Roman" w:eastAsia="宋体" w:cs="Times New Roman"/>
          <w:sz w:val="20"/>
          <w:szCs w:val="20"/>
          <w:lang w:val="en-US"/>
        </w:rPr>
        <w:t xml:space="preserve">证券代码：603212   </w:t>
      </w:r>
      <w:r>
        <w:rPr>
          <w:rFonts w:ascii="Times New Roman" w:hAnsi="Times New Roman" w:eastAsia="宋体" w:cs="Times New Roman"/>
          <w:sz w:val="21"/>
          <w:szCs w:val="21"/>
          <w:lang w:val="en-US"/>
        </w:rPr>
        <w:t xml:space="preserve">                         </w:t>
      </w:r>
      <w:r>
        <w:rPr>
          <w:rFonts w:hint="eastAsia" w:ascii="Times New Roman" w:hAnsi="Times New Roman" w:eastAsia="宋体" w:cs="Times New Roman"/>
          <w:sz w:val="21"/>
          <w:szCs w:val="21"/>
          <w:lang w:val="en-US"/>
        </w:rPr>
        <w:t xml:space="preserve">  </w:t>
      </w:r>
      <w:r>
        <w:rPr>
          <w:rFonts w:ascii="Times New Roman" w:hAnsi="Times New Roman" w:eastAsia="宋体" w:cs="Times New Roman"/>
          <w:sz w:val="21"/>
          <w:szCs w:val="21"/>
          <w:lang w:val="en-US"/>
        </w:rPr>
        <w:t xml:space="preserve">             </w:t>
      </w:r>
      <w:r>
        <w:rPr>
          <w:rFonts w:ascii="Times New Roman" w:hAnsi="Times New Roman" w:eastAsia="宋体" w:cs="Times New Roman"/>
          <w:sz w:val="20"/>
          <w:szCs w:val="20"/>
          <w:lang w:val="en-US"/>
        </w:rPr>
        <w:t>证券简称：赛伍技术</w:t>
      </w:r>
    </w:p>
    <w:p w14:paraId="12FA2B2C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</w:p>
    <w:p w14:paraId="7745DD60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  <w:r>
        <w:rPr>
          <w:rFonts w:ascii="Times New Roman" w:hAnsi="Times New Roman" w:eastAsia="宋体" w:cs="Times New Roman"/>
          <w:b/>
          <w:bCs/>
          <w:sz w:val="44"/>
          <w:szCs w:val="44"/>
        </w:rPr>
        <w:t>苏州赛伍应用技术股份有限公司</w:t>
      </w:r>
    </w:p>
    <w:p w14:paraId="57B4DFA7">
      <w:pPr>
        <w:spacing w:line="360" w:lineRule="auto"/>
        <w:jc w:val="center"/>
        <w:rPr>
          <w:rFonts w:ascii="Times New Roman" w:hAnsi="Times New Roman" w:eastAsia="宋体" w:cs="Times New Roman"/>
          <w:sz w:val="44"/>
          <w:szCs w:val="44"/>
        </w:rPr>
      </w:pPr>
      <w:r>
        <w:rPr>
          <w:rFonts w:ascii="Times New Roman" w:hAnsi="Times New Roman" w:eastAsia="宋体" w:cs="Times New Roman"/>
          <w:b/>
          <w:bCs/>
          <w:sz w:val="44"/>
          <w:szCs w:val="44"/>
        </w:rPr>
        <w:t>投资者关系活动记录表</w:t>
      </w:r>
    </w:p>
    <w:p w14:paraId="18A4EA82">
      <w:pPr>
        <w:spacing w:before="51" w:after="32"/>
        <w:ind w:right="619"/>
        <w:jc w:val="right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ascii="Times New Roman" w:hAnsi="Times New Roman" w:eastAsia="宋体" w:cs="Times New Roman"/>
          <w:sz w:val="20"/>
          <w:szCs w:val="20"/>
        </w:rPr>
        <w:t>编号：</w:t>
      </w:r>
      <w:r>
        <w:rPr>
          <w:rFonts w:ascii="Times New Roman" w:hAnsi="Times New Roman" w:eastAsia="宋体" w:cs="Times New Roman"/>
          <w:sz w:val="20"/>
          <w:szCs w:val="20"/>
          <w:highlight w:val="none"/>
          <w:lang w:val="en-US"/>
        </w:rPr>
        <w:t>2026</w:t>
      </w:r>
      <w:r>
        <w:rPr>
          <w:rFonts w:ascii="Times New Roman" w:hAnsi="Times New Roman" w:eastAsia="宋体" w:cs="Times New Roman"/>
          <w:sz w:val="20"/>
          <w:szCs w:val="20"/>
          <w:highlight w:val="none"/>
        </w:rPr>
        <w:t>-</w:t>
      </w:r>
      <w:r>
        <w:rPr>
          <w:rFonts w:hint="eastAsia" w:ascii="Times New Roman" w:hAnsi="Times New Roman" w:eastAsia="宋体" w:cs="Times New Roman"/>
          <w:sz w:val="20"/>
          <w:szCs w:val="20"/>
          <w:highlight w:val="none"/>
          <w:lang w:val="en-US"/>
        </w:rPr>
        <w:t>00</w:t>
      </w:r>
      <w:r>
        <w:rPr>
          <w:rFonts w:hint="eastAsia" w:ascii="Times New Roman" w:hAnsi="Times New Roman" w:eastAsia="宋体" w:cs="Times New Roman"/>
          <w:sz w:val="20"/>
          <w:szCs w:val="20"/>
          <w:highlight w:val="none"/>
          <w:lang w:val="en-US" w:eastAsia="zh-CN"/>
        </w:rPr>
        <w:t>5</w:t>
      </w:r>
    </w:p>
    <w:tbl>
      <w:tblPr>
        <w:tblStyle w:val="10"/>
        <w:tblW w:w="83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35"/>
        <w:gridCol w:w="5844"/>
      </w:tblGrid>
      <w:tr w14:paraId="012D9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666" w:hRule="atLeast"/>
          <w:jc w:val="center"/>
        </w:trPr>
        <w:tc>
          <w:tcPr>
            <w:tcW w:w="2535" w:type="dxa"/>
          </w:tcPr>
          <w:p w14:paraId="1DBFCFAD">
            <w:pPr>
              <w:pStyle w:val="14"/>
              <w:spacing w:before="7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</w:p>
          <w:p w14:paraId="025B41CB">
            <w:pPr>
              <w:pStyle w:val="14"/>
              <w:spacing w:before="1"/>
              <w:ind w:left="107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投资者关系活动类别</w:t>
            </w:r>
          </w:p>
        </w:tc>
        <w:tc>
          <w:tcPr>
            <w:tcW w:w="5844" w:type="dxa"/>
          </w:tcPr>
          <w:p w14:paraId="3C71F8E6">
            <w:pPr>
              <w:pStyle w:val="14"/>
              <w:spacing w:before="7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  <w:p w14:paraId="2CDFDE54">
            <w:pPr>
              <w:pStyle w:val="14"/>
              <w:tabs>
                <w:tab w:val="left" w:pos="2418"/>
              </w:tabs>
              <w:spacing w:before="1"/>
              <w:ind w:left="107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特</w:t>
            </w: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</w:rPr>
              <w:t>定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对</w:t>
            </w: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</w:rPr>
              <w:t>象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调研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ab/>
            </w:r>
            <w:sdt>
              <w:sdt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分</w:t>
            </w: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</w:rPr>
              <w:t>析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师</w:t>
            </w: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</w:rPr>
              <w:t>会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议</w:t>
            </w:r>
          </w:p>
          <w:p w14:paraId="1A46B53D">
            <w:pPr>
              <w:pStyle w:val="14"/>
              <w:spacing w:before="11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  <w:p w14:paraId="226D0787">
            <w:pPr>
              <w:pStyle w:val="14"/>
              <w:tabs>
                <w:tab w:val="left" w:pos="2418"/>
              </w:tabs>
              <w:ind w:left="107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媒</w:t>
            </w: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</w:rPr>
              <w:t>体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采访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ab/>
            </w:r>
            <w:sdt>
              <w:sdt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</w:sdtEndPr>
              <w:sdtContent>
                <w:r>
                  <w:rPr>
                    <w:rFonts w:hint="default" w:ascii="MS Gothic" w:hAnsi="MS Gothic" w:eastAsia="MS Gothic" w:cs="Times New Roman"/>
                    <w:sz w:val="22"/>
                    <w:szCs w:val="22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业</w:t>
            </w: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</w:rPr>
              <w:t>绩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说</w:t>
            </w: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</w:rPr>
              <w:t>明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会</w:t>
            </w:r>
          </w:p>
          <w:p w14:paraId="6F7A3AD5">
            <w:pPr>
              <w:pStyle w:val="14"/>
              <w:spacing w:before="8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  <w:p w14:paraId="02ABD94F">
            <w:pPr>
              <w:pStyle w:val="14"/>
              <w:tabs>
                <w:tab w:val="left" w:pos="2418"/>
              </w:tabs>
              <w:ind w:left="107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新</w:t>
            </w: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</w:rPr>
              <w:t>闻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发</w:t>
            </w: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</w:rPr>
              <w:t>布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会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ab/>
            </w:r>
            <w:sdt>
              <w:sdt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id w:val="41204969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</w:sdtEndPr>
              <w:sdtContent>
                <w:r>
                  <w:rPr>
                    <w:rFonts w:hint="default" w:ascii="Wingdings 2" w:hAnsi="Wingdings 2" w:eastAsia="MS Gothic" w:cs="Times New Roman"/>
                    <w:sz w:val="22"/>
                    <w:szCs w:val="22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路</w:t>
            </w: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</w:rPr>
              <w:t>演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活动</w:t>
            </w:r>
          </w:p>
          <w:p w14:paraId="55CC8349">
            <w:pPr>
              <w:pStyle w:val="14"/>
              <w:spacing w:before="8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  <w:p w14:paraId="120C685F">
            <w:pPr>
              <w:pStyle w:val="14"/>
              <w:ind w:left="107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现场参观</w:t>
            </w:r>
          </w:p>
          <w:p w14:paraId="670CA0EF">
            <w:pPr>
              <w:pStyle w:val="14"/>
              <w:spacing w:before="11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  <w:p w14:paraId="68CDC10F">
            <w:pPr>
              <w:pStyle w:val="14"/>
              <w:ind w:left="107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2"/>
                  <w:szCs w:val="22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其他（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u w:val="single"/>
              </w:rPr>
              <w:t>请文字说明其他活动内容）</w:t>
            </w:r>
          </w:p>
        </w:tc>
      </w:tr>
      <w:tr w14:paraId="0DD0A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230" w:hRule="atLeast"/>
          <w:jc w:val="center"/>
        </w:trPr>
        <w:tc>
          <w:tcPr>
            <w:tcW w:w="2535" w:type="dxa"/>
            <w:vAlign w:val="center"/>
          </w:tcPr>
          <w:p w14:paraId="514DFFC7">
            <w:pPr>
              <w:pStyle w:val="14"/>
              <w:spacing w:before="100" w:beforeAutospacing="1" w:line="360" w:lineRule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参与单位名称及人员姓名</w:t>
            </w:r>
          </w:p>
        </w:tc>
        <w:tc>
          <w:tcPr>
            <w:tcW w:w="5844" w:type="dxa"/>
            <w:vAlign w:val="center"/>
          </w:tcPr>
          <w:p w14:paraId="3C693862">
            <w:pPr>
              <w:pStyle w:val="14"/>
              <w:spacing w:before="100" w:beforeAutospacing="1" w:line="360" w:lineRule="auto"/>
              <w:ind w:left="0" w:leftChars="0" w:firstLine="0" w:firstLineChars="0"/>
              <w:jc w:val="both"/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ascii="Roboto" w:hAnsi="Roboto" w:eastAsia="Roboto" w:cs="Roboto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鹏华基金、长城基金、宝盈基金、汇丰晋信、金信基金、先锋基金</w:t>
            </w:r>
            <w:r>
              <w:rPr>
                <w:rFonts w:hint="eastAsia" w:ascii="Roboto" w:hAnsi="Roboto" w:eastAsia="宋体" w:cs="Roboto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、</w:t>
            </w:r>
            <w:r>
              <w:rPr>
                <w:rFonts w:ascii="Roboto" w:hAnsi="Roboto" w:eastAsia="Roboto" w:cs="Roboto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建信理财</w:t>
            </w:r>
            <w:r>
              <w:rPr>
                <w:rFonts w:hint="eastAsia" w:ascii="Roboto" w:hAnsi="Roboto" w:eastAsia="宋体" w:cs="Roboto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eastAsia="zh-CN"/>
              </w:rPr>
              <w:t>、</w:t>
            </w:r>
            <w:r>
              <w:rPr>
                <w:rFonts w:ascii="Roboto" w:hAnsi="Roboto" w:eastAsia="Roboto" w:cs="Roboto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晶泰、亿鑫投资、深圳市前海万方达资产管理、友安众晟、上善如是</w:t>
            </w:r>
            <w:r>
              <w:rPr>
                <w:rFonts w:hint="eastAsia" w:ascii="Roboto" w:hAnsi="Roboto" w:eastAsia="宋体" w:cs="Roboto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eastAsia="zh-CN"/>
              </w:rPr>
              <w:t>、</w:t>
            </w:r>
            <w:r>
              <w:rPr>
                <w:rFonts w:ascii="Roboto" w:hAnsi="Roboto" w:eastAsia="Roboto" w:cs="Roboto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国联民生证券、国投证券</w:t>
            </w:r>
          </w:p>
        </w:tc>
      </w:tr>
      <w:tr w14:paraId="0AA23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535" w:type="dxa"/>
            <w:vAlign w:val="center"/>
          </w:tcPr>
          <w:p w14:paraId="20ED0FA7">
            <w:pPr>
              <w:pStyle w:val="14"/>
              <w:ind w:left="107"/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</w:rPr>
              <w:t>时间</w:t>
            </w:r>
          </w:p>
        </w:tc>
        <w:tc>
          <w:tcPr>
            <w:tcW w:w="5844" w:type="dxa"/>
            <w:vAlign w:val="center"/>
          </w:tcPr>
          <w:p w14:paraId="6D1152C6">
            <w:pPr>
              <w:spacing w:before="100" w:beforeAutospacing="1" w:line="36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/>
              </w:rPr>
              <w:t>2026年</w:t>
            </w:r>
            <w:r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/>
              </w:rPr>
              <w:t>月</w:t>
            </w:r>
            <w:r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  <w:t>7日、9月8日、9月11日</w:t>
            </w:r>
          </w:p>
        </w:tc>
      </w:tr>
      <w:tr w14:paraId="490C6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2535" w:type="dxa"/>
            <w:vAlign w:val="center"/>
          </w:tcPr>
          <w:p w14:paraId="73E2DB64">
            <w:pPr>
              <w:pStyle w:val="14"/>
              <w:ind w:left="107"/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</w:rPr>
              <w:t>地点</w:t>
            </w:r>
          </w:p>
        </w:tc>
        <w:tc>
          <w:tcPr>
            <w:tcW w:w="5844" w:type="dxa"/>
            <w:vAlign w:val="center"/>
          </w:tcPr>
          <w:p w14:paraId="4463B1FB">
            <w:pPr>
              <w:pStyle w:val="14"/>
              <w:spacing w:before="100" w:beforeAutospacing="1" w:line="360" w:lineRule="auto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  <w:t>深圳</w:t>
            </w:r>
          </w:p>
        </w:tc>
      </w:tr>
      <w:tr w14:paraId="050CE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2" w:hRule="atLeast"/>
          <w:jc w:val="center"/>
        </w:trPr>
        <w:tc>
          <w:tcPr>
            <w:tcW w:w="2535" w:type="dxa"/>
            <w:vAlign w:val="center"/>
          </w:tcPr>
          <w:p w14:paraId="4293B4C3">
            <w:pPr>
              <w:pStyle w:val="14"/>
              <w:spacing w:before="1" w:line="240" w:lineRule="auto"/>
              <w:ind w:left="107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上市公司接待人员姓名</w:t>
            </w:r>
          </w:p>
        </w:tc>
        <w:tc>
          <w:tcPr>
            <w:tcW w:w="5844" w:type="dxa"/>
            <w:vAlign w:val="center"/>
          </w:tcPr>
          <w:p w14:paraId="7518D853">
            <w:pPr>
              <w:pStyle w:val="14"/>
              <w:spacing w:before="100" w:beforeAutospacing="1" w:line="240" w:lineRule="auto"/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董事、战略管理和业务发展中心总监 吴幼平</w:t>
            </w:r>
          </w:p>
          <w:p w14:paraId="072B1AB7">
            <w:pPr>
              <w:pStyle w:val="14"/>
              <w:spacing w:before="100" w:beforeAutospacing="1" w:line="240" w:lineRule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IR 徐晶晶</w:t>
            </w:r>
          </w:p>
        </w:tc>
      </w:tr>
      <w:tr w14:paraId="69CBC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35" w:type="dxa"/>
          </w:tcPr>
          <w:p w14:paraId="648BABF2">
            <w:pPr>
              <w:pStyle w:val="14"/>
              <w:spacing w:before="100" w:beforeAutospacing="1" w:line="360" w:lineRule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</w:p>
          <w:p w14:paraId="212BC683">
            <w:pPr>
              <w:pStyle w:val="14"/>
              <w:spacing w:before="100" w:beforeAutospacing="1" w:line="360" w:lineRule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</w:p>
          <w:p w14:paraId="5ADAC2C6">
            <w:pPr>
              <w:pStyle w:val="14"/>
              <w:spacing w:before="100" w:beforeAutospacing="1" w:line="360" w:lineRule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</w:p>
          <w:p w14:paraId="1A7A3851">
            <w:pPr>
              <w:pStyle w:val="14"/>
              <w:spacing w:before="100" w:beforeAutospacing="1" w:line="360" w:lineRule="auto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/>
              </w:rPr>
              <w:t>投资者关系活动主要内容介绍</w:t>
            </w:r>
          </w:p>
        </w:tc>
        <w:tc>
          <w:tcPr>
            <w:tcW w:w="5844" w:type="dxa"/>
          </w:tcPr>
          <w:p w14:paraId="3509FDFD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问题1：公司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上半年非光伏业务规模、增速及占比变化是多少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eastAsia="zh-CN"/>
              </w:rPr>
              <w:t>？</w:t>
            </w:r>
          </w:p>
          <w:p w14:paraId="36080A85">
            <w:pPr>
              <w:numPr>
                <w:ilvl w:val="0"/>
                <w:numId w:val="0"/>
              </w:numPr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答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：上半年非光伏业务收入4.17亿元，同比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增加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26.78%，营收占比 33.49%，较上年同期提升8个百分点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  <w:t>。</w:t>
            </w:r>
          </w:p>
          <w:p w14:paraId="75EDB43B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  <w:p w14:paraId="2CAA6675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问题2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公司目前业务板如何划分？</w:t>
            </w:r>
          </w:p>
          <w:p w14:paraId="4AB02AF3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答：公司目前有五大业务板块，分别是：光伏材料、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新能源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电力电子材料、半导体材料、消费电子材料、消费品材料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。</w:t>
            </w:r>
          </w:p>
          <w:p w14:paraId="2EF0F712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</w:p>
          <w:p w14:paraId="1FB0B8FE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问题3：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报告期经营现金流相关量化数据是多少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eastAsia="zh-CN"/>
              </w:rPr>
              <w:t>？</w:t>
            </w:r>
          </w:p>
          <w:p w14:paraId="21632342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答：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2026 上半年经营活动产生的现金流量净额 9265.89 万元，同比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增加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24.07%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。</w:t>
            </w:r>
          </w:p>
          <w:p w14:paraId="0C28AC91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  <w:p w14:paraId="31E698F3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问题4：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公司海外业务上半年经营量化数据如何？</w:t>
            </w:r>
          </w:p>
          <w:p w14:paraId="06B5F4C5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答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：上半年海外整体营业收入3.58亿元，同比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增加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5.22%，占总营收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29%，同比提升3个百分点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？</w:t>
            </w:r>
          </w:p>
          <w:p w14:paraId="17F0490A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</w:p>
          <w:p w14:paraId="7FA5910E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eastAsia="zh-CN"/>
              </w:rPr>
              <w:t>问题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：MoPro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vertAlign w:val="superscript"/>
              </w:rPr>
              <w:t>®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光伏电站维修延寿业务上半年经营数据？</w:t>
            </w:r>
          </w:p>
          <w:p w14:paraId="0F2E621A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答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：MoPro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vertAlign w:val="superscript"/>
              </w:rPr>
              <w:t xml:space="preserve">®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业务上半年实现营业收入2323.50万元，同比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增加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55.40%，实现高速增长，海外客户实现突破，属于电站存量市场特色增量业务。</w:t>
            </w:r>
          </w:p>
          <w:p w14:paraId="0958F3D6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  <w:p w14:paraId="44AB5AD9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问题6：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 xml:space="preserve">新能源和电力电子材料板块上半年营收、出货、占比情况？ </w:t>
            </w:r>
          </w:p>
          <w:p w14:paraId="1B1C7773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答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：上半年新能源和电力电子材料实现营收3.32亿元，同比 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增加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15.94%；营收占比 26.63%，同比提升5个百分点。</w:t>
            </w:r>
          </w:p>
          <w:p w14:paraId="2EE2C853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</w:p>
          <w:p w14:paraId="3F40F70C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eastAsia="zh-CN"/>
              </w:rPr>
              <w:t>问题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 xml:space="preserve">：消费品材料板块上半年营收与毛利率？ </w:t>
            </w:r>
          </w:p>
          <w:p w14:paraId="518BAE87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答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：消费品材料业务上半年营收0.47亿元，毛利率42.5%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。</w:t>
            </w:r>
          </w:p>
          <w:p w14:paraId="41481A07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</w:p>
          <w:p w14:paraId="0E95EA7E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eastAsia="zh-CN"/>
              </w:rPr>
              <w:t>问题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：2026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上半年研发投入规模及研发费用率变化？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 </w:t>
            </w:r>
          </w:p>
          <w:p w14:paraId="29070B6F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答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：上半年研发总投入5461万元，研发费用率4.32%，较去年同期 3.52% 明显提升。</w:t>
            </w:r>
          </w:p>
          <w:p w14:paraId="6811C1B7">
            <w:pPr>
              <w:pStyle w:val="14"/>
              <w:spacing w:line="36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36A9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63" w:hRule="atLeast"/>
          <w:jc w:val="center"/>
        </w:trPr>
        <w:tc>
          <w:tcPr>
            <w:tcW w:w="2535" w:type="dxa"/>
            <w:vAlign w:val="center"/>
          </w:tcPr>
          <w:p w14:paraId="59B85CEB">
            <w:pPr>
              <w:pStyle w:val="14"/>
              <w:spacing w:before="1"/>
              <w:ind w:left="107"/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</w:rPr>
              <w:t>关于本次活动是否涉及应</w:t>
            </w:r>
          </w:p>
          <w:p w14:paraId="5D5C8A62">
            <w:pPr>
              <w:pStyle w:val="14"/>
              <w:spacing w:before="1"/>
              <w:ind w:left="107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</w:rPr>
              <w:t>披露重大信息的说明</w:t>
            </w:r>
          </w:p>
        </w:tc>
        <w:tc>
          <w:tcPr>
            <w:tcW w:w="5844" w:type="dxa"/>
            <w:vAlign w:val="center"/>
          </w:tcPr>
          <w:p w14:paraId="79E7B126">
            <w:pPr>
              <w:pStyle w:val="14"/>
              <w:spacing w:before="100" w:beforeAutospacing="1" w:line="360" w:lineRule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本次活动不涉及未公开披露的重大信息。</w:t>
            </w:r>
          </w:p>
        </w:tc>
      </w:tr>
      <w:tr w14:paraId="6E6F5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535" w:type="dxa"/>
            <w:vAlign w:val="center"/>
          </w:tcPr>
          <w:p w14:paraId="7B05445E">
            <w:pPr>
              <w:pStyle w:val="14"/>
              <w:spacing w:before="1"/>
              <w:ind w:left="107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附件清单（如有）</w:t>
            </w:r>
          </w:p>
        </w:tc>
        <w:tc>
          <w:tcPr>
            <w:tcW w:w="5844" w:type="dxa"/>
            <w:vAlign w:val="center"/>
          </w:tcPr>
          <w:p w14:paraId="78BD1BAF">
            <w:pPr>
              <w:pStyle w:val="14"/>
              <w:spacing w:before="100" w:beforeAutospacing="1" w:line="360" w:lineRule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106E2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2535" w:type="dxa"/>
            <w:vAlign w:val="center"/>
          </w:tcPr>
          <w:p w14:paraId="67364C63">
            <w:pPr>
              <w:pStyle w:val="14"/>
              <w:spacing w:before="1"/>
              <w:ind w:left="107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日期</w:t>
            </w:r>
          </w:p>
        </w:tc>
        <w:tc>
          <w:tcPr>
            <w:tcW w:w="5844" w:type="dxa"/>
            <w:vAlign w:val="center"/>
          </w:tcPr>
          <w:p w14:paraId="5E597CAC">
            <w:pPr>
              <w:pStyle w:val="14"/>
              <w:spacing w:before="100" w:beforeAutospacing="1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2026年0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  <w:t>月</w:t>
            </w:r>
          </w:p>
        </w:tc>
      </w:tr>
    </w:tbl>
    <w:p w14:paraId="7F41447C">
      <w:pPr>
        <w:spacing w:line="20" w:lineRule="exact"/>
        <w:rPr>
          <w:rFonts w:ascii="Times New Roman" w:hAnsi="Times New Roman" w:eastAsia="宋体" w:cs="Times New Roman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03E5"/>
    <w:rsid w:val="000B7C08"/>
    <w:rsid w:val="000D12CF"/>
    <w:rsid w:val="000D2D88"/>
    <w:rsid w:val="000E4B20"/>
    <w:rsid w:val="000E706C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D2778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107D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30CF"/>
    <w:rsid w:val="00B15064"/>
    <w:rsid w:val="00B340A3"/>
    <w:rsid w:val="00B410F5"/>
    <w:rsid w:val="00B6280C"/>
    <w:rsid w:val="00B671A4"/>
    <w:rsid w:val="00B72CD4"/>
    <w:rsid w:val="00B85B00"/>
    <w:rsid w:val="00BF132F"/>
    <w:rsid w:val="00C06CD5"/>
    <w:rsid w:val="00C13878"/>
    <w:rsid w:val="00C416AC"/>
    <w:rsid w:val="00CA1705"/>
    <w:rsid w:val="00CE1A54"/>
    <w:rsid w:val="00CF3D56"/>
    <w:rsid w:val="00CF5FB6"/>
    <w:rsid w:val="00D02518"/>
    <w:rsid w:val="00D17454"/>
    <w:rsid w:val="00D33FBC"/>
    <w:rsid w:val="00D6081A"/>
    <w:rsid w:val="00D7535C"/>
    <w:rsid w:val="00D76302"/>
    <w:rsid w:val="00DA5CE2"/>
    <w:rsid w:val="00DD2266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20F07EB"/>
    <w:rsid w:val="028440C8"/>
    <w:rsid w:val="02D61DD7"/>
    <w:rsid w:val="04B072D4"/>
    <w:rsid w:val="04D74983"/>
    <w:rsid w:val="05F575D4"/>
    <w:rsid w:val="064249C6"/>
    <w:rsid w:val="0644234F"/>
    <w:rsid w:val="08641132"/>
    <w:rsid w:val="09186774"/>
    <w:rsid w:val="0945438F"/>
    <w:rsid w:val="0A2D4BF5"/>
    <w:rsid w:val="0A71587A"/>
    <w:rsid w:val="0B792C38"/>
    <w:rsid w:val="0C28640C"/>
    <w:rsid w:val="0E39562B"/>
    <w:rsid w:val="0E90599A"/>
    <w:rsid w:val="0ED720CD"/>
    <w:rsid w:val="10906AF7"/>
    <w:rsid w:val="113E5D8A"/>
    <w:rsid w:val="115138CD"/>
    <w:rsid w:val="11C566A6"/>
    <w:rsid w:val="12070CAE"/>
    <w:rsid w:val="1274067F"/>
    <w:rsid w:val="145F688C"/>
    <w:rsid w:val="1465286B"/>
    <w:rsid w:val="14D47131"/>
    <w:rsid w:val="1528122B"/>
    <w:rsid w:val="15472B9D"/>
    <w:rsid w:val="15680001"/>
    <w:rsid w:val="15DD2205"/>
    <w:rsid w:val="17072842"/>
    <w:rsid w:val="17A67110"/>
    <w:rsid w:val="1864189B"/>
    <w:rsid w:val="18D73A7D"/>
    <w:rsid w:val="19557370"/>
    <w:rsid w:val="196977CD"/>
    <w:rsid w:val="1BD06B6A"/>
    <w:rsid w:val="1C760CDD"/>
    <w:rsid w:val="1CA90EA4"/>
    <w:rsid w:val="1CEC2B3E"/>
    <w:rsid w:val="1DBF722A"/>
    <w:rsid w:val="1E5762D3"/>
    <w:rsid w:val="1EA9258E"/>
    <w:rsid w:val="1F782BDE"/>
    <w:rsid w:val="204A6A53"/>
    <w:rsid w:val="208539D6"/>
    <w:rsid w:val="21935D34"/>
    <w:rsid w:val="21AD0AEE"/>
    <w:rsid w:val="23317869"/>
    <w:rsid w:val="23F0274E"/>
    <w:rsid w:val="25650CAE"/>
    <w:rsid w:val="257C76BA"/>
    <w:rsid w:val="26406598"/>
    <w:rsid w:val="268E233A"/>
    <w:rsid w:val="26E943AB"/>
    <w:rsid w:val="28080056"/>
    <w:rsid w:val="280B656E"/>
    <w:rsid w:val="28357F8F"/>
    <w:rsid w:val="28734C1A"/>
    <w:rsid w:val="28C72DDD"/>
    <w:rsid w:val="29EE0E64"/>
    <w:rsid w:val="2AD64A2B"/>
    <w:rsid w:val="2B717030"/>
    <w:rsid w:val="2BC4020A"/>
    <w:rsid w:val="2C5E0230"/>
    <w:rsid w:val="2CF14C58"/>
    <w:rsid w:val="2D0F4CB3"/>
    <w:rsid w:val="2EF90F16"/>
    <w:rsid w:val="2F125C63"/>
    <w:rsid w:val="2F3E191F"/>
    <w:rsid w:val="2FC975B7"/>
    <w:rsid w:val="302C3D0A"/>
    <w:rsid w:val="3104598F"/>
    <w:rsid w:val="318F6462"/>
    <w:rsid w:val="33DE31BB"/>
    <w:rsid w:val="3509652C"/>
    <w:rsid w:val="37865C12"/>
    <w:rsid w:val="389C49C0"/>
    <w:rsid w:val="38D73BA1"/>
    <w:rsid w:val="394F29F0"/>
    <w:rsid w:val="39BC78F4"/>
    <w:rsid w:val="3B35486F"/>
    <w:rsid w:val="3B911029"/>
    <w:rsid w:val="3DB3252F"/>
    <w:rsid w:val="3DB80AEF"/>
    <w:rsid w:val="3DE05C15"/>
    <w:rsid w:val="3E223A90"/>
    <w:rsid w:val="3EF1250A"/>
    <w:rsid w:val="404C3770"/>
    <w:rsid w:val="40567DB0"/>
    <w:rsid w:val="40FF5CD2"/>
    <w:rsid w:val="426052B1"/>
    <w:rsid w:val="42DB40B0"/>
    <w:rsid w:val="43454B41"/>
    <w:rsid w:val="43B71B0A"/>
    <w:rsid w:val="44FA0589"/>
    <w:rsid w:val="45A663E3"/>
    <w:rsid w:val="469F09AF"/>
    <w:rsid w:val="4B2979F3"/>
    <w:rsid w:val="4B756271"/>
    <w:rsid w:val="4C8E1CA8"/>
    <w:rsid w:val="4D6D36A4"/>
    <w:rsid w:val="4E094A4F"/>
    <w:rsid w:val="4E640AFC"/>
    <w:rsid w:val="4EC23998"/>
    <w:rsid w:val="507B5903"/>
    <w:rsid w:val="50AB29AE"/>
    <w:rsid w:val="510903EF"/>
    <w:rsid w:val="51DC282E"/>
    <w:rsid w:val="53F137F4"/>
    <w:rsid w:val="543A6906"/>
    <w:rsid w:val="56850CBB"/>
    <w:rsid w:val="59D8738A"/>
    <w:rsid w:val="5A666D76"/>
    <w:rsid w:val="5B2253C2"/>
    <w:rsid w:val="5B4A5D34"/>
    <w:rsid w:val="5C753C6B"/>
    <w:rsid w:val="5CF02E0F"/>
    <w:rsid w:val="603269D2"/>
    <w:rsid w:val="617F21EE"/>
    <w:rsid w:val="61A52BCA"/>
    <w:rsid w:val="63F436A7"/>
    <w:rsid w:val="64581978"/>
    <w:rsid w:val="647D032E"/>
    <w:rsid w:val="65D775CF"/>
    <w:rsid w:val="66EA3218"/>
    <w:rsid w:val="67095496"/>
    <w:rsid w:val="67ED7463"/>
    <w:rsid w:val="681A546A"/>
    <w:rsid w:val="68507D37"/>
    <w:rsid w:val="694D7A8E"/>
    <w:rsid w:val="69CB37D4"/>
    <w:rsid w:val="6A0D5B9B"/>
    <w:rsid w:val="6A3B23B1"/>
    <w:rsid w:val="6A6205DC"/>
    <w:rsid w:val="6AEA32DC"/>
    <w:rsid w:val="6C582CA1"/>
    <w:rsid w:val="6CC24AB5"/>
    <w:rsid w:val="6D290801"/>
    <w:rsid w:val="6D9271B2"/>
    <w:rsid w:val="6F134790"/>
    <w:rsid w:val="6F35524C"/>
    <w:rsid w:val="6FE81F5F"/>
    <w:rsid w:val="6FF3138F"/>
    <w:rsid w:val="70A73F27"/>
    <w:rsid w:val="716E2F9F"/>
    <w:rsid w:val="71DD02E8"/>
    <w:rsid w:val="72446028"/>
    <w:rsid w:val="73076EC0"/>
    <w:rsid w:val="73246A69"/>
    <w:rsid w:val="74210CA6"/>
    <w:rsid w:val="746F4E76"/>
    <w:rsid w:val="75935631"/>
    <w:rsid w:val="75BF3AC1"/>
    <w:rsid w:val="7631655C"/>
    <w:rsid w:val="76430096"/>
    <w:rsid w:val="768C095A"/>
    <w:rsid w:val="78811A07"/>
    <w:rsid w:val="788C25F5"/>
    <w:rsid w:val="78913C62"/>
    <w:rsid w:val="79F72AA9"/>
    <w:rsid w:val="7A144529"/>
    <w:rsid w:val="7A96074E"/>
    <w:rsid w:val="7DB67EA0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rFonts w:ascii="Times New Roman" w:hAnsi="Times New Roman" w:cs="Times New Roman"/>
      <w:sz w:val="24"/>
      <w:szCs w:val="24"/>
    </w:rPr>
  </w:style>
  <w:style w:type="paragraph" w:styleId="9">
    <w:name w:val="annotation subject"/>
    <w:basedOn w:val="3"/>
    <w:next w:val="3"/>
    <w:link w:val="18"/>
    <w:qFormat/>
    <w:uiPriority w:val="0"/>
    <w:rPr>
      <w:b/>
      <w:bCs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页眉 字符"/>
    <w:basedOn w:val="11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6">
    <w:name w:val="页脚 字符"/>
    <w:basedOn w:val="11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7">
    <w:name w:val="批注文字 字符"/>
    <w:basedOn w:val="11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8">
    <w:name w:val="批注主题 字符"/>
    <w:basedOn w:val="17"/>
    <w:link w:val="9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9">
    <w:name w:val="批注框文本 字符"/>
    <w:basedOn w:val="11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88185-7879-414D-A8B0-0FD11CC7CE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818</Words>
  <Characters>931</Characters>
  <Lines>28</Lines>
  <Paragraphs>8</Paragraphs>
  <TotalTime>5</TotalTime>
  <ScaleCrop>false</ScaleCrop>
  <LinksUpToDate>false</LinksUpToDate>
  <CharactersWithSpaces>1000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2026-06-30T10:27:00Z</dcterms:created>
  <dc:creator>jie.huang</dc:creator>
  <cp:lastModifiedBy>李烨</cp:lastModifiedBy>
  <dcterms:modified xsi:type="dcterms:W3CDTF">2026-09-11T07:47:30Z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D54A8DB1062D4D48A1FDA368331EAAF0_13</vt:lpwstr>
  </property>
  <property fmtid="{D5CDD505-2E9C-101B-9397-08002B2CF9AE}" pid="4" name="KSOTemplateDocerSaveRecord">
    <vt:lpwstr>eyJoZGlkIjoiNTU1YTZmZWRmMTk1MjczM2U5MTg2NzA5ZmU1YTQ4MzciLCJ1c2VySWQiOiI0NDUxODYxOTIifQ==</vt:lpwstr>
  </property>
</Properties>
</file>