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A72D1D">
      <w:pPr>
        <w:spacing w:before="156" w:beforeLines="50" w:after="156" w:afterLines="50" w:line="400" w:lineRule="exact"/>
        <w:rPr>
          <w:rFonts w:hint="default" w:ascii="Times New Roman" w:hAnsi="Times New Roman" w:cs="Times New Roman"/>
          <w:bCs/>
          <w:iCs/>
          <w:color w:val="000000"/>
          <w:sz w:val="24"/>
        </w:rPr>
      </w:pPr>
      <w:r>
        <w:rPr>
          <w:rFonts w:hint="default" w:ascii="Times New Roman" w:hAnsi="Times New Roman" w:cs="Times New Roman"/>
          <w:bCs/>
          <w:iCs/>
          <w:color w:val="000000"/>
          <w:sz w:val="24"/>
        </w:rPr>
        <w:t>证券代码：600361                                  证券简称：创新新材</w:t>
      </w:r>
    </w:p>
    <w:p w14:paraId="7E348B87">
      <w:pPr>
        <w:spacing w:before="156" w:beforeLines="50" w:after="156" w:afterLines="50" w:line="400" w:lineRule="exact"/>
        <w:jc w:val="center"/>
        <w:rPr>
          <w:rFonts w:hint="default" w:ascii="Times New Roman" w:hAnsi="Times New Roman" w:cs="Times New Roman"/>
          <w:b/>
          <w:bCs/>
          <w:iCs/>
          <w:color w:val="000000"/>
          <w:sz w:val="32"/>
          <w:szCs w:val="32"/>
        </w:rPr>
      </w:pPr>
      <w:r>
        <w:rPr>
          <w:rFonts w:hint="default" w:ascii="Times New Roman" w:hAnsi="Times New Roman" w:cs="Times New Roman"/>
          <w:b/>
          <w:bCs/>
          <w:iCs/>
          <w:color w:val="000000"/>
          <w:sz w:val="32"/>
          <w:szCs w:val="32"/>
        </w:rPr>
        <w:t>创新新材料科技股份有限公司投资者关系活动记录表</w:t>
      </w:r>
    </w:p>
    <w:p w14:paraId="00FA3BD4">
      <w:pPr>
        <w:spacing w:line="400" w:lineRule="exact"/>
        <w:rPr>
          <w:rFonts w:hint="default" w:ascii="Times New Roman" w:hAnsi="Times New Roman" w:cs="Times New Roman" w:eastAsiaTheme="minorEastAsia"/>
          <w:bCs/>
          <w:iCs/>
          <w:color w:val="000000"/>
          <w:sz w:val="24"/>
          <w:lang w:val="en-US" w:eastAsia="zh-CN"/>
        </w:rPr>
      </w:pPr>
      <w:r>
        <w:rPr>
          <w:rFonts w:hint="default" w:ascii="Times New Roman" w:hAnsi="Times New Roman" w:cs="Times New Roman"/>
          <w:bCs/>
          <w:iCs/>
          <w:color w:val="000000"/>
          <w:sz w:val="24"/>
        </w:rPr>
        <w:t xml:space="preserve">                                                       编号：202</w:t>
      </w:r>
      <w:r>
        <w:rPr>
          <w:rFonts w:hint="default" w:ascii="Times New Roman" w:hAnsi="Times New Roman" w:cs="Times New Roman"/>
          <w:bCs/>
          <w:iCs/>
          <w:color w:val="000000"/>
          <w:sz w:val="24"/>
          <w:lang w:val="en-US" w:eastAsia="zh-CN"/>
        </w:rPr>
        <w:t>6</w:t>
      </w:r>
      <w:r>
        <w:rPr>
          <w:rFonts w:hint="default" w:ascii="Times New Roman" w:hAnsi="Times New Roman" w:cs="Times New Roman"/>
          <w:bCs/>
          <w:iCs/>
          <w:color w:val="000000"/>
          <w:sz w:val="24"/>
        </w:rPr>
        <w:t>-0</w:t>
      </w:r>
      <w:r>
        <w:rPr>
          <w:rFonts w:hint="eastAsia" w:ascii="Times New Roman" w:hAnsi="Times New Roman" w:cs="Times New Roman"/>
          <w:bCs/>
          <w:iCs/>
          <w:color w:val="000000"/>
          <w:sz w:val="24"/>
          <w:lang w:val="en-US" w:eastAsia="zh-CN"/>
        </w:rPr>
        <w:t>5</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7"/>
        <w:gridCol w:w="6449"/>
      </w:tblGrid>
      <w:tr w14:paraId="3C4A9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tcPr>
          <w:p w14:paraId="02E69373">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szCs w:val="24"/>
              </w:rPr>
            </w:pPr>
            <w:r>
              <w:rPr>
                <w:rFonts w:hint="default" w:ascii="Times New Roman" w:hAnsi="Times New Roman" w:cs="Times New Roman"/>
                <w:bCs/>
                <w:iCs/>
                <w:color w:val="000000"/>
                <w:sz w:val="24"/>
                <w:szCs w:val="24"/>
              </w:rPr>
              <w:t>投资者关系活动类别</w:t>
            </w:r>
          </w:p>
          <w:p w14:paraId="7FDDAFCF">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szCs w:val="24"/>
              </w:rPr>
            </w:pPr>
          </w:p>
        </w:tc>
        <w:tc>
          <w:tcPr>
            <w:tcW w:w="6614" w:type="dxa"/>
            <w:tcBorders>
              <w:top w:val="single" w:color="auto" w:sz="4" w:space="0"/>
              <w:left w:val="single" w:color="auto" w:sz="4" w:space="0"/>
              <w:bottom w:val="single" w:color="auto" w:sz="4" w:space="0"/>
              <w:right w:val="single" w:color="auto" w:sz="4" w:space="0"/>
            </w:tcBorders>
          </w:tcPr>
          <w:p w14:paraId="37FEB484">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szCs w:val="24"/>
              </w:rPr>
            </w:pPr>
            <w:r>
              <w:rPr>
                <w:rFonts w:hint="default" w:ascii="Times New Roman" w:hAnsi="Times New Roman" w:cs="Times New Roman"/>
                <w:bCs/>
                <w:iCs/>
                <w:color w:val="000000"/>
                <w:sz w:val="24"/>
                <w:szCs w:val="24"/>
              </w:rPr>
              <w:t>□</w:t>
            </w:r>
            <w:r>
              <w:rPr>
                <w:rFonts w:hint="default" w:ascii="Times New Roman" w:hAnsi="Times New Roman" w:cs="Times New Roman"/>
                <w:sz w:val="24"/>
                <w:szCs w:val="24"/>
              </w:rPr>
              <w:t xml:space="preserve">特定对象调研        </w:t>
            </w:r>
            <w:r>
              <w:rPr>
                <w:rFonts w:hint="default" w:ascii="Times New Roman" w:hAnsi="Times New Roman" w:cs="Times New Roman"/>
                <w:bCs/>
                <w:iCs/>
                <w:color w:val="000000"/>
                <w:sz w:val="24"/>
                <w:szCs w:val="24"/>
              </w:rPr>
              <w:t>□</w:t>
            </w:r>
            <w:r>
              <w:rPr>
                <w:rFonts w:hint="default" w:ascii="Times New Roman" w:hAnsi="Times New Roman" w:cs="Times New Roman"/>
                <w:sz w:val="24"/>
                <w:szCs w:val="24"/>
              </w:rPr>
              <w:t>分析师会议</w:t>
            </w:r>
          </w:p>
          <w:p w14:paraId="292557AA">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szCs w:val="24"/>
              </w:rPr>
            </w:pPr>
            <w:r>
              <w:rPr>
                <w:rFonts w:hint="default" w:ascii="Times New Roman" w:hAnsi="Times New Roman" w:cs="Times New Roman"/>
                <w:bCs/>
                <w:iCs/>
                <w:color w:val="000000"/>
                <w:sz w:val="24"/>
                <w:szCs w:val="24"/>
              </w:rPr>
              <w:t>□</w:t>
            </w:r>
            <w:r>
              <w:rPr>
                <w:rFonts w:hint="default" w:ascii="Times New Roman" w:hAnsi="Times New Roman" w:cs="Times New Roman"/>
                <w:sz w:val="24"/>
                <w:szCs w:val="24"/>
              </w:rPr>
              <w:t>媒体采访            √业绩说明会</w:t>
            </w:r>
          </w:p>
          <w:p w14:paraId="29FA061C">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szCs w:val="24"/>
              </w:rPr>
            </w:pPr>
            <w:r>
              <w:rPr>
                <w:rFonts w:hint="default" w:ascii="Times New Roman" w:hAnsi="Times New Roman" w:cs="Times New Roman"/>
                <w:bCs/>
                <w:iCs/>
                <w:color w:val="000000"/>
                <w:sz w:val="24"/>
                <w:szCs w:val="24"/>
              </w:rPr>
              <w:t>□</w:t>
            </w:r>
            <w:r>
              <w:rPr>
                <w:rFonts w:hint="default" w:ascii="Times New Roman" w:hAnsi="Times New Roman" w:cs="Times New Roman"/>
                <w:sz w:val="24"/>
                <w:szCs w:val="24"/>
              </w:rPr>
              <w:t xml:space="preserve">新闻发布会          </w:t>
            </w:r>
            <w:r>
              <w:rPr>
                <w:rFonts w:hint="default" w:ascii="Times New Roman" w:hAnsi="Times New Roman" w:cs="Times New Roman"/>
                <w:bCs/>
                <w:iCs/>
                <w:color w:val="000000"/>
                <w:sz w:val="24"/>
                <w:szCs w:val="24"/>
              </w:rPr>
              <w:t>□</w:t>
            </w:r>
            <w:r>
              <w:rPr>
                <w:rFonts w:hint="default" w:ascii="Times New Roman" w:hAnsi="Times New Roman" w:cs="Times New Roman"/>
                <w:sz w:val="24"/>
                <w:szCs w:val="24"/>
              </w:rPr>
              <w:t>路演活动</w:t>
            </w:r>
          </w:p>
          <w:p w14:paraId="55845AFF">
            <w:pPr>
              <w:keepNext w:val="0"/>
              <w:keepLines w:val="0"/>
              <w:suppressLineNumbers w:val="0"/>
              <w:tabs>
                <w:tab w:val="left" w:pos="3045"/>
                <w:tab w:val="center" w:pos="3199"/>
              </w:tabs>
              <w:spacing w:before="0" w:beforeAutospacing="0" w:after="0" w:afterAutospacing="0" w:line="480" w:lineRule="atLeast"/>
              <w:ind w:left="0" w:right="0"/>
              <w:rPr>
                <w:rFonts w:hint="default" w:ascii="Times New Roman" w:hAnsi="Times New Roman" w:cs="Times New Roman"/>
                <w:bCs/>
                <w:iCs/>
                <w:color w:val="000000"/>
                <w:sz w:val="24"/>
                <w:szCs w:val="24"/>
              </w:rPr>
            </w:pPr>
            <w:r>
              <w:rPr>
                <w:rFonts w:hint="default" w:ascii="Times New Roman" w:hAnsi="Times New Roman" w:cs="Times New Roman"/>
                <w:bCs/>
                <w:iCs/>
                <w:color w:val="000000"/>
                <w:sz w:val="24"/>
                <w:szCs w:val="24"/>
              </w:rPr>
              <w:t>□</w:t>
            </w:r>
            <w:r>
              <w:rPr>
                <w:rFonts w:hint="default" w:ascii="Times New Roman" w:hAnsi="Times New Roman" w:cs="Times New Roman"/>
                <w:sz w:val="24"/>
                <w:szCs w:val="24"/>
              </w:rPr>
              <w:t>现场参观</w:t>
            </w:r>
            <w:r>
              <w:rPr>
                <w:rFonts w:hint="default" w:ascii="Times New Roman" w:hAnsi="Times New Roman" w:cs="Times New Roman"/>
                <w:bCs/>
                <w:iCs/>
                <w:color w:val="000000"/>
                <w:sz w:val="24"/>
                <w:szCs w:val="24"/>
              </w:rPr>
              <w:tab/>
            </w:r>
          </w:p>
        </w:tc>
      </w:tr>
      <w:tr w14:paraId="2AC8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65758EEE">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szCs w:val="24"/>
              </w:rPr>
            </w:pPr>
            <w:r>
              <w:rPr>
                <w:rFonts w:hint="default" w:ascii="Times New Roman" w:hAnsi="Times New Roman" w:cs="Times New Roman"/>
                <w:bCs/>
                <w:iCs/>
                <w:color w:val="000000"/>
                <w:sz w:val="24"/>
                <w:szCs w:val="24"/>
              </w:rPr>
              <w:t>参与单位名称及人员姓名</w:t>
            </w:r>
          </w:p>
        </w:tc>
        <w:tc>
          <w:tcPr>
            <w:tcW w:w="6614" w:type="dxa"/>
            <w:tcBorders>
              <w:top w:val="single" w:color="auto" w:sz="4" w:space="0"/>
              <w:left w:val="single" w:color="auto" w:sz="4" w:space="0"/>
              <w:bottom w:val="single" w:color="auto" w:sz="4" w:space="0"/>
              <w:right w:val="single" w:color="auto" w:sz="4" w:space="0"/>
            </w:tcBorders>
            <w:vAlign w:val="center"/>
          </w:tcPr>
          <w:p w14:paraId="68F6CF01">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szCs w:val="24"/>
              </w:rPr>
            </w:pPr>
            <w:r>
              <w:rPr>
                <w:rFonts w:hint="default" w:ascii="Times New Roman" w:hAnsi="Times New Roman" w:cs="Times New Roman"/>
                <w:bCs/>
                <w:iCs/>
                <w:color w:val="000000"/>
                <w:sz w:val="24"/>
                <w:szCs w:val="24"/>
              </w:rPr>
              <w:t>线上参与公司202</w:t>
            </w:r>
            <w:r>
              <w:rPr>
                <w:rFonts w:hint="eastAsia" w:ascii="Times New Roman" w:hAnsi="Times New Roman" w:cs="Times New Roman"/>
                <w:bCs/>
                <w:iCs/>
                <w:color w:val="000000"/>
                <w:sz w:val="24"/>
                <w:szCs w:val="24"/>
                <w:lang w:val="en-US" w:eastAsia="zh-CN"/>
              </w:rPr>
              <w:t>6</w:t>
            </w:r>
            <w:r>
              <w:rPr>
                <w:rFonts w:hint="default" w:ascii="Times New Roman" w:hAnsi="Times New Roman" w:cs="Times New Roman"/>
                <w:bCs/>
                <w:iCs/>
                <w:color w:val="000000"/>
                <w:sz w:val="24"/>
                <w:szCs w:val="24"/>
              </w:rPr>
              <w:t>年</w:t>
            </w:r>
            <w:r>
              <w:rPr>
                <w:rFonts w:hint="eastAsia" w:ascii="Times New Roman" w:hAnsi="Times New Roman" w:cs="Times New Roman"/>
                <w:bCs/>
                <w:iCs/>
                <w:color w:val="000000"/>
                <w:sz w:val="24"/>
                <w:szCs w:val="24"/>
                <w:lang w:val="en-US" w:eastAsia="zh-CN"/>
              </w:rPr>
              <w:t>半年</w:t>
            </w:r>
            <w:r>
              <w:rPr>
                <w:rFonts w:hint="default" w:ascii="Times New Roman" w:hAnsi="Times New Roman" w:cs="Times New Roman"/>
                <w:bCs/>
                <w:iCs/>
                <w:color w:val="000000"/>
                <w:sz w:val="24"/>
                <w:szCs w:val="24"/>
              </w:rPr>
              <w:t>度业绩说明会的全体投资者</w:t>
            </w:r>
          </w:p>
        </w:tc>
      </w:tr>
      <w:tr w14:paraId="5167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tcPr>
          <w:p w14:paraId="1EC89F11">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szCs w:val="24"/>
              </w:rPr>
            </w:pPr>
            <w:r>
              <w:rPr>
                <w:rFonts w:hint="default" w:ascii="Times New Roman" w:hAnsi="Times New Roman" w:cs="Times New Roman"/>
                <w:bCs/>
                <w:iCs/>
                <w:color w:val="000000"/>
                <w:sz w:val="24"/>
                <w:szCs w:val="24"/>
              </w:rPr>
              <w:t>时间</w:t>
            </w:r>
          </w:p>
        </w:tc>
        <w:tc>
          <w:tcPr>
            <w:tcW w:w="6614" w:type="dxa"/>
            <w:tcBorders>
              <w:top w:val="single" w:color="auto" w:sz="4" w:space="0"/>
              <w:left w:val="single" w:color="auto" w:sz="4" w:space="0"/>
              <w:bottom w:val="single" w:color="auto" w:sz="4" w:space="0"/>
              <w:right w:val="single" w:color="auto" w:sz="4" w:space="0"/>
            </w:tcBorders>
            <w:vAlign w:val="center"/>
          </w:tcPr>
          <w:p w14:paraId="189FAEBF">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szCs w:val="24"/>
              </w:rPr>
            </w:pPr>
            <w:r>
              <w:rPr>
                <w:rFonts w:hint="default" w:ascii="Times New Roman" w:hAnsi="Times New Roman" w:cs="Times New Roman"/>
                <w:bCs/>
                <w:iCs/>
                <w:color w:val="000000"/>
                <w:sz w:val="24"/>
                <w:szCs w:val="24"/>
              </w:rPr>
              <w:t>202</w:t>
            </w:r>
            <w:r>
              <w:rPr>
                <w:rFonts w:hint="default" w:ascii="Times New Roman" w:hAnsi="Times New Roman" w:cs="Times New Roman"/>
                <w:bCs/>
                <w:iCs/>
                <w:color w:val="000000"/>
                <w:sz w:val="24"/>
                <w:szCs w:val="24"/>
                <w:lang w:val="en-US" w:eastAsia="zh-CN"/>
              </w:rPr>
              <w:t>6</w:t>
            </w:r>
            <w:r>
              <w:rPr>
                <w:rFonts w:hint="default" w:ascii="Times New Roman" w:hAnsi="Times New Roman" w:cs="Times New Roman"/>
                <w:bCs/>
                <w:iCs/>
                <w:color w:val="000000"/>
                <w:sz w:val="24"/>
                <w:szCs w:val="24"/>
              </w:rPr>
              <w:t>年</w:t>
            </w:r>
            <w:r>
              <w:rPr>
                <w:rFonts w:hint="eastAsia" w:ascii="Times New Roman" w:hAnsi="Times New Roman" w:cs="Times New Roman"/>
                <w:bCs/>
                <w:iCs/>
                <w:color w:val="000000"/>
                <w:sz w:val="24"/>
                <w:szCs w:val="24"/>
                <w:lang w:val="en-US" w:eastAsia="zh-CN"/>
              </w:rPr>
              <w:t>9</w:t>
            </w:r>
            <w:r>
              <w:rPr>
                <w:rFonts w:hint="default" w:ascii="Times New Roman" w:hAnsi="Times New Roman" w:cs="Times New Roman"/>
                <w:bCs/>
                <w:iCs/>
                <w:color w:val="000000"/>
                <w:sz w:val="24"/>
                <w:szCs w:val="24"/>
              </w:rPr>
              <w:t>月</w:t>
            </w:r>
            <w:r>
              <w:rPr>
                <w:rFonts w:hint="eastAsia" w:ascii="Times New Roman" w:hAnsi="Times New Roman" w:cs="Times New Roman"/>
                <w:bCs/>
                <w:iCs/>
                <w:color w:val="000000"/>
                <w:sz w:val="24"/>
                <w:szCs w:val="24"/>
                <w:lang w:val="en-US" w:eastAsia="zh-CN"/>
              </w:rPr>
              <w:t>11</w:t>
            </w:r>
            <w:r>
              <w:rPr>
                <w:rFonts w:hint="default" w:ascii="Times New Roman" w:hAnsi="Times New Roman" w:cs="Times New Roman"/>
                <w:bCs/>
                <w:iCs/>
                <w:color w:val="000000"/>
                <w:sz w:val="24"/>
                <w:szCs w:val="24"/>
              </w:rPr>
              <w:t xml:space="preserve">日 </w:t>
            </w:r>
            <w:r>
              <w:rPr>
                <w:rFonts w:hint="eastAsia" w:ascii="Times New Roman" w:hAnsi="Times New Roman" w:cs="Times New Roman"/>
                <w:bCs/>
                <w:iCs/>
                <w:color w:val="000000"/>
                <w:sz w:val="24"/>
                <w:szCs w:val="24"/>
                <w:lang w:val="en-US" w:eastAsia="zh-CN"/>
              </w:rPr>
              <w:t>15:0</w:t>
            </w:r>
            <w:r>
              <w:rPr>
                <w:rFonts w:hint="default" w:ascii="Times New Roman" w:hAnsi="Times New Roman" w:cs="Times New Roman"/>
                <w:bCs/>
                <w:iCs/>
                <w:color w:val="000000"/>
                <w:sz w:val="24"/>
                <w:szCs w:val="24"/>
              </w:rPr>
              <w:t>0-1</w:t>
            </w:r>
            <w:r>
              <w:rPr>
                <w:rFonts w:hint="eastAsia" w:ascii="Times New Roman" w:hAnsi="Times New Roman" w:cs="Times New Roman"/>
                <w:bCs/>
                <w:iCs/>
                <w:color w:val="000000"/>
                <w:sz w:val="24"/>
                <w:szCs w:val="24"/>
                <w:lang w:val="en-US" w:eastAsia="zh-CN"/>
              </w:rPr>
              <w:t>6:3</w:t>
            </w:r>
            <w:r>
              <w:rPr>
                <w:rFonts w:hint="default" w:ascii="Times New Roman" w:hAnsi="Times New Roman" w:cs="Times New Roman"/>
                <w:bCs/>
                <w:iCs/>
                <w:color w:val="000000"/>
                <w:sz w:val="24"/>
                <w:szCs w:val="24"/>
              </w:rPr>
              <w:t>0</w:t>
            </w:r>
          </w:p>
        </w:tc>
      </w:tr>
      <w:tr w14:paraId="307DD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tcPr>
          <w:p w14:paraId="04182414">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szCs w:val="24"/>
              </w:rPr>
            </w:pPr>
            <w:r>
              <w:rPr>
                <w:rFonts w:hint="default" w:ascii="Times New Roman" w:hAnsi="Times New Roman" w:cs="Times New Roman"/>
                <w:bCs/>
                <w:iCs/>
                <w:color w:val="000000"/>
                <w:sz w:val="24"/>
                <w:szCs w:val="24"/>
              </w:rPr>
              <w:t>地点</w:t>
            </w:r>
          </w:p>
        </w:tc>
        <w:tc>
          <w:tcPr>
            <w:tcW w:w="6614" w:type="dxa"/>
            <w:tcBorders>
              <w:top w:val="single" w:color="auto" w:sz="4" w:space="0"/>
              <w:left w:val="single" w:color="auto" w:sz="4" w:space="0"/>
              <w:bottom w:val="single" w:color="auto" w:sz="4" w:space="0"/>
              <w:right w:val="single" w:color="auto" w:sz="4" w:space="0"/>
            </w:tcBorders>
            <w:vAlign w:val="center"/>
          </w:tcPr>
          <w:p w14:paraId="4C8B13EF">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szCs w:val="24"/>
              </w:rPr>
            </w:pPr>
            <w:r>
              <w:rPr>
                <w:rFonts w:hint="default" w:ascii="Times New Roman" w:hAnsi="Times New Roman" w:cs="Times New Roman"/>
                <w:bCs/>
                <w:iCs/>
                <w:color w:val="000000"/>
                <w:sz w:val="24"/>
                <w:szCs w:val="24"/>
              </w:rPr>
              <w:t>上海证券交易所上证路演中心（网址：https://roadshow.sseinfo.com/）</w:t>
            </w:r>
          </w:p>
        </w:tc>
      </w:tr>
      <w:tr w14:paraId="226F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tcPr>
          <w:p w14:paraId="2CBEE5B4">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szCs w:val="24"/>
              </w:rPr>
            </w:pPr>
            <w:r>
              <w:rPr>
                <w:rFonts w:hint="default" w:ascii="Times New Roman" w:hAnsi="Times New Roman" w:cs="Times New Roman"/>
                <w:bCs/>
                <w:iCs/>
                <w:color w:val="000000"/>
                <w:sz w:val="24"/>
                <w:szCs w:val="24"/>
              </w:rPr>
              <w:t>上市公司接待人员姓名</w:t>
            </w:r>
          </w:p>
        </w:tc>
        <w:tc>
          <w:tcPr>
            <w:tcW w:w="6614" w:type="dxa"/>
            <w:tcBorders>
              <w:top w:val="single" w:color="auto" w:sz="4" w:space="0"/>
              <w:left w:val="single" w:color="auto" w:sz="4" w:space="0"/>
              <w:bottom w:val="single" w:color="auto" w:sz="4" w:space="0"/>
              <w:right w:val="single" w:color="auto" w:sz="4" w:space="0"/>
            </w:tcBorders>
            <w:vAlign w:val="center"/>
          </w:tcPr>
          <w:p w14:paraId="61334842">
            <w:pPr>
              <w:keepNext w:val="0"/>
              <w:keepLines w:val="0"/>
              <w:suppressLineNumbers w:val="0"/>
              <w:spacing w:before="0" w:beforeAutospacing="0" w:after="0" w:afterAutospacing="0" w:line="480" w:lineRule="atLeast"/>
              <w:ind w:left="0" w:right="0"/>
              <w:rPr>
                <w:rFonts w:hint="eastAsia" w:ascii="Times New Roman" w:hAnsi="Times New Roman" w:cs="Times New Roman"/>
                <w:bCs/>
                <w:iCs/>
                <w:color w:val="000000"/>
                <w:sz w:val="24"/>
                <w:szCs w:val="24"/>
                <w:lang w:val="en-US" w:eastAsia="zh-CN"/>
              </w:rPr>
            </w:pPr>
            <w:r>
              <w:rPr>
                <w:rFonts w:hint="eastAsia" w:ascii="Times New Roman" w:hAnsi="Times New Roman" w:cs="Times New Roman"/>
                <w:bCs/>
                <w:iCs/>
                <w:color w:val="000000"/>
                <w:sz w:val="24"/>
                <w:szCs w:val="24"/>
                <w:lang w:val="en-US" w:eastAsia="zh-CN"/>
              </w:rPr>
              <w:t>董事、总经理：王伟先生</w:t>
            </w:r>
          </w:p>
          <w:p w14:paraId="5DEAEF40">
            <w:pPr>
              <w:keepNext w:val="0"/>
              <w:keepLines w:val="0"/>
              <w:suppressLineNumbers w:val="0"/>
              <w:spacing w:before="0" w:beforeAutospacing="0" w:after="0" w:afterAutospacing="0" w:line="480" w:lineRule="atLeast"/>
              <w:ind w:left="0" w:right="0"/>
              <w:rPr>
                <w:rFonts w:hint="eastAsia" w:ascii="Times New Roman" w:hAnsi="Times New Roman" w:cs="Times New Roman"/>
                <w:bCs/>
                <w:iCs/>
                <w:color w:val="000000"/>
                <w:sz w:val="24"/>
                <w:szCs w:val="24"/>
                <w:lang w:val="en-US" w:eastAsia="zh-CN"/>
              </w:rPr>
            </w:pPr>
            <w:r>
              <w:rPr>
                <w:rFonts w:hint="eastAsia" w:ascii="Times New Roman" w:hAnsi="Times New Roman" w:cs="Times New Roman"/>
                <w:bCs/>
                <w:iCs/>
                <w:color w:val="000000"/>
                <w:sz w:val="24"/>
                <w:szCs w:val="24"/>
                <w:lang w:val="en-US" w:eastAsia="zh-CN"/>
              </w:rPr>
              <w:t xml:space="preserve">董事、副总经理、财务负责人：许峰先生 </w:t>
            </w:r>
          </w:p>
          <w:p w14:paraId="194B898A">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szCs w:val="24"/>
                <w:lang w:val="en-US" w:eastAsia="zh-CN"/>
              </w:rPr>
            </w:pPr>
            <w:r>
              <w:rPr>
                <w:rFonts w:hint="eastAsia" w:ascii="Times New Roman" w:hAnsi="Times New Roman" w:cs="Times New Roman"/>
                <w:bCs/>
                <w:iCs/>
                <w:color w:val="000000"/>
                <w:sz w:val="24"/>
                <w:szCs w:val="24"/>
                <w:lang w:val="en-US" w:eastAsia="zh-CN"/>
              </w:rPr>
              <w:t>独立董事：张勇先生</w:t>
            </w:r>
          </w:p>
          <w:p w14:paraId="16590D95">
            <w:pPr>
              <w:keepNext w:val="0"/>
              <w:keepLines w:val="0"/>
              <w:suppressLineNumbers w:val="0"/>
              <w:spacing w:before="0" w:beforeAutospacing="0" w:after="0" w:afterAutospacing="0" w:line="480" w:lineRule="atLeast"/>
              <w:ind w:left="0" w:right="0"/>
              <w:rPr>
                <w:rFonts w:hint="default" w:ascii="Times New Roman" w:hAnsi="Times New Roman" w:cs="Times New Roman" w:eastAsiaTheme="minorEastAsia"/>
                <w:bCs/>
                <w:iCs/>
                <w:color w:val="000000"/>
                <w:sz w:val="24"/>
                <w:szCs w:val="24"/>
                <w:lang w:val="en-US" w:eastAsia="zh-CN"/>
              </w:rPr>
            </w:pPr>
            <w:r>
              <w:rPr>
                <w:rFonts w:hint="eastAsia" w:ascii="Times New Roman" w:hAnsi="Times New Roman" w:cs="Times New Roman"/>
                <w:bCs/>
                <w:iCs/>
                <w:color w:val="000000"/>
                <w:sz w:val="24"/>
                <w:szCs w:val="24"/>
                <w:lang w:val="en-US" w:eastAsia="zh-CN"/>
              </w:rPr>
              <w:t>副总经理、董事会秘书：王科芳女士</w:t>
            </w:r>
          </w:p>
        </w:tc>
      </w:tr>
      <w:tr w14:paraId="17336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2D3D3EBF">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rPr>
            </w:pPr>
            <w:r>
              <w:rPr>
                <w:rFonts w:hint="default" w:ascii="Times New Roman" w:hAnsi="Times New Roman" w:cs="Times New Roman"/>
                <w:bCs/>
                <w:iCs/>
                <w:color w:val="000000"/>
                <w:sz w:val="24"/>
              </w:rPr>
              <w:t>投资者关系活动主要内容介绍</w:t>
            </w:r>
          </w:p>
          <w:p w14:paraId="413042B8">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rPr>
            </w:pPr>
          </w:p>
        </w:tc>
        <w:tc>
          <w:tcPr>
            <w:tcW w:w="6614" w:type="dxa"/>
            <w:tcBorders>
              <w:top w:val="single" w:color="auto" w:sz="4" w:space="0"/>
              <w:left w:val="single" w:color="auto" w:sz="4" w:space="0"/>
              <w:bottom w:val="single" w:color="auto" w:sz="4" w:space="0"/>
              <w:right w:val="single" w:color="auto" w:sz="4" w:space="0"/>
            </w:tcBorders>
          </w:tcPr>
          <w:p w14:paraId="3512DAC8">
            <w:pPr>
              <w:keepNext w:val="0"/>
              <w:keepLines w:val="0"/>
              <w:suppressLineNumbers w:val="0"/>
              <w:spacing w:before="0" w:beforeAutospacing="0" w:after="0" w:afterAutospacing="0" w:line="480" w:lineRule="atLeast"/>
              <w:ind w:left="0" w:right="0" w:firstLine="482" w:firstLineChars="200"/>
              <w:rPr>
                <w:rFonts w:hint="default" w:ascii="Times New Roman" w:hAnsi="Times New Roman" w:cs="Times New Roman"/>
                <w:b/>
                <w:iCs/>
                <w:color w:val="000000"/>
                <w:sz w:val="24"/>
              </w:rPr>
            </w:pPr>
            <w:r>
              <w:rPr>
                <w:rFonts w:hint="default" w:ascii="Times New Roman" w:hAnsi="Times New Roman" w:cs="Times New Roman"/>
                <w:b/>
                <w:iCs/>
                <w:color w:val="000000"/>
                <w:sz w:val="24"/>
              </w:rPr>
              <w:t>一、交流问答</w:t>
            </w:r>
          </w:p>
          <w:p w14:paraId="64715F86">
            <w:pPr>
              <w:keepNext w:val="0"/>
              <w:keepLines w:val="0"/>
              <w:suppressLineNumbers w:val="0"/>
              <w:spacing w:before="0" w:beforeAutospacing="0" w:after="0" w:afterAutospacing="0" w:line="480" w:lineRule="atLeast"/>
              <w:ind w:left="0" w:right="0" w:firstLine="482" w:firstLineChars="200"/>
              <w:rPr>
                <w:rFonts w:hint="eastAsia" w:ascii="Times New Roman" w:hAnsi="Times New Roman" w:cs="Times New Roman"/>
                <w:b/>
                <w:iCs/>
                <w:color w:val="000000"/>
                <w:sz w:val="24"/>
                <w:lang w:val="en-US" w:eastAsia="zh-CN"/>
              </w:rPr>
            </w:pPr>
            <w:r>
              <w:rPr>
                <w:rFonts w:hint="default" w:ascii="Times New Roman" w:hAnsi="Times New Roman" w:cs="Times New Roman"/>
                <w:b/>
                <w:iCs/>
                <w:color w:val="000000"/>
                <w:sz w:val="24"/>
                <w:lang w:val="en-US" w:eastAsia="zh-CN"/>
              </w:rPr>
              <w:t>Q1、</w:t>
            </w:r>
            <w:r>
              <w:rPr>
                <w:rFonts w:hint="eastAsia" w:ascii="Times New Roman" w:hAnsi="Times New Roman" w:cs="Times New Roman"/>
                <w:b/>
                <w:iCs/>
                <w:color w:val="000000"/>
                <w:sz w:val="24"/>
                <w:lang w:val="en-US" w:eastAsia="zh-CN"/>
              </w:rPr>
              <w:t>沙特铝产业链项目正处于施工阶段，能否介绍项目投产后对公司成本与海外市场拓展的具体影响？</w:t>
            </w:r>
          </w:p>
          <w:p w14:paraId="7788A642">
            <w:pPr>
              <w:keepNext w:val="0"/>
              <w:keepLines w:val="0"/>
              <w:suppressLineNumbers w:val="0"/>
              <w:spacing w:before="0" w:beforeAutospacing="0" w:after="0" w:afterAutospacing="0" w:line="480" w:lineRule="atLeast"/>
              <w:ind w:left="0" w:right="0" w:firstLine="480" w:firstLineChars="200"/>
              <w:rPr>
                <w:rFonts w:hint="eastAsia" w:ascii="Times New Roman" w:hAnsi="Times New Roman" w:cs="Times New Roman"/>
                <w:bCs/>
                <w:iCs/>
                <w:color w:val="000000"/>
                <w:sz w:val="24"/>
                <w:lang w:val="en-US" w:eastAsia="zh-CN"/>
              </w:rPr>
            </w:pPr>
            <w:r>
              <w:rPr>
                <w:rFonts w:hint="default" w:ascii="Times New Roman" w:hAnsi="Times New Roman" w:cs="Times New Roman"/>
                <w:bCs/>
                <w:iCs/>
                <w:color w:val="000000"/>
                <w:sz w:val="24"/>
                <w:lang w:val="en-US" w:eastAsia="zh-CN"/>
              </w:rPr>
              <w:t xml:space="preserve">A： </w:t>
            </w:r>
            <w:r>
              <w:rPr>
                <w:rFonts w:hint="eastAsia" w:ascii="Times New Roman" w:hAnsi="Times New Roman" w:cs="Times New Roman"/>
                <w:bCs/>
                <w:iCs/>
                <w:color w:val="000000"/>
                <w:sz w:val="24"/>
                <w:lang w:val="en-US" w:eastAsia="zh-CN"/>
              </w:rPr>
              <w:t>尊敬的投资者，您好!</w:t>
            </w:r>
            <w:r>
              <w:rPr>
                <w:rFonts w:hint="default" w:ascii="Times New Roman" w:hAnsi="Times New Roman" w:cs="Times New Roman"/>
                <w:bCs/>
                <w:iCs/>
                <w:color w:val="000000"/>
                <w:sz w:val="24"/>
                <w:lang w:val="en-US" w:eastAsia="zh-CN"/>
              </w:rPr>
              <w:t>“</w:t>
            </w:r>
            <w:r>
              <w:rPr>
                <w:rFonts w:hint="eastAsia" w:ascii="Times New Roman" w:hAnsi="Times New Roman" w:cs="Times New Roman"/>
                <w:bCs/>
                <w:iCs/>
                <w:color w:val="000000"/>
                <w:sz w:val="24"/>
                <w:lang w:val="en-US" w:eastAsia="zh-CN"/>
              </w:rPr>
              <w:t>沙特红海铝产业链综合项目</w:t>
            </w:r>
            <w:r>
              <w:rPr>
                <w:rFonts w:hint="default" w:ascii="Times New Roman" w:hAnsi="Times New Roman" w:cs="Times New Roman"/>
                <w:bCs/>
                <w:iCs/>
                <w:color w:val="000000"/>
                <w:sz w:val="24"/>
                <w:lang w:val="en-US" w:eastAsia="zh-CN"/>
              </w:rPr>
              <w:t>”</w:t>
            </w:r>
            <w:r>
              <w:rPr>
                <w:rFonts w:hint="eastAsia" w:ascii="Times New Roman" w:hAnsi="Times New Roman" w:cs="Times New Roman"/>
                <w:bCs/>
                <w:iCs/>
                <w:color w:val="000000"/>
                <w:sz w:val="24"/>
                <w:lang w:val="en-US" w:eastAsia="zh-CN"/>
              </w:rPr>
              <w:t xml:space="preserve">涵盖铝产业链的全链路产品，预期产出合计年产能50万吨电解铝及50万吨高精度铝棒、铝板带箔作为主要产品。 </w:t>
            </w:r>
          </w:p>
          <w:p w14:paraId="7817C9D2">
            <w:pPr>
              <w:keepNext w:val="0"/>
              <w:keepLines w:val="0"/>
              <w:suppressLineNumbers w:val="0"/>
              <w:spacing w:before="0" w:beforeAutospacing="0" w:after="0" w:afterAutospacing="0" w:line="480" w:lineRule="atLeast"/>
              <w:ind w:left="0" w:right="0" w:firstLine="480" w:firstLineChars="200"/>
              <w:rPr>
                <w:rFonts w:hint="eastAsia" w:ascii="Times New Roman" w:hAnsi="Times New Roman" w:cs="Times New Roman"/>
                <w:bCs/>
                <w:iCs/>
                <w:color w:val="000000"/>
                <w:sz w:val="24"/>
                <w:lang w:val="en-US" w:eastAsia="zh-CN"/>
              </w:rPr>
            </w:pPr>
            <w:r>
              <w:rPr>
                <w:rFonts w:hint="eastAsia" w:ascii="Times New Roman" w:hAnsi="Times New Roman" w:cs="Times New Roman"/>
                <w:bCs/>
                <w:iCs/>
                <w:color w:val="000000"/>
                <w:sz w:val="24"/>
                <w:lang w:val="en-US" w:eastAsia="zh-CN"/>
              </w:rPr>
              <w:t>本项目将联合投资各方建立起以铝生产和铝合金加工为核心的铝产业集群，该项目具有当地能源资源禀赋、产业配套及区位条件所形成的综合成本优势。</w:t>
            </w:r>
          </w:p>
          <w:p w14:paraId="03281957">
            <w:pPr>
              <w:keepNext w:val="0"/>
              <w:keepLines w:val="0"/>
              <w:suppressLineNumbers w:val="0"/>
              <w:spacing w:before="0" w:beforeAutospacing="0" w:after="0" w:afterAutospacing="0" w:line="480" w:lineRule="atLeast"/>
              <w:ind w:left="0" w:right="0" w:firstLine="480" w:firstLineChars="200"/>
              <w:rPr>
                <w:rFonts w:hint="eastAsia" w:ascii="Times New Roman" w:hAnsi="Times New Roman" w:cs="Times New Roman"/>
                <w:bCs/>
                <w:iCs/>
                <w:color w:val="000000"/>
                <w:sz w:val="24"/>
                <w:lang w:val="en-US" w:eastAsia="zh-CN"/>
              </w:rPr>
            </w:pPr>
            <w:r>
              <w:rPr>
                <w:rFonts w:hint="eastAsia" w:ascii="Times New Roman" w:hAnsi="Times New Roman" w:cs="Times New Roman"/>
                <w:bCs/>
                <w:iCs/>
                <w:color w:val="000000"/>
                <w:sz w:val="24"/>
                <w:lang w:val="en-US" w:eastAsia="zh-CN"/>
              </w:rPr>
              <w:t xml:space="preserve">一是，沙特能源资源禀赋较为突出，能源供应稳定。考虑到电解铝属于高耗能产业，沙特国网整体电力成本相比其他国别较低。 </w:t>
            </w:r>
          </w:p>
          <w:p w14:paraId="2F15A6C1">
            <w:pPr>
              <w:keepNext w:val="0"/>
              <w:keepLines w:val="0"/>
              <w:suppressLineNumbers w:val="0"/>
              <w:spacing w:before="0" w:beforeAutospacing="0" w:after="0" w:afterAutospacing="0" w:line="480" w:lineRule="atLeast"/>
              <w:ind w:left="0" w:right="0" w:firstLine="480" w:firstLineChars="200"/>
              <w:rPr>
                <w:rFonts w:hint="eastAsia" w:ascii="Times New Roman" w:hAnsi="Times New Roman" w:cs="Times New Roman"/>
                <w:bCs/>
                <w:iCs/>
                <w:color w:val="000000"/>
                <w:sz w:val="24"/>
                <w:lang w:val="en-US" w:eastAsia="zh-CN"/>
              </w:rPr>
            </w:pPr>
            <w:r>
              <w:rPr>
                <w:rFonts w:hint="eastAsia" w:ascii="Times New Roman" w:hAnsi="Times New Roman" w:cs="Times New Roman"/>
                <w:bCs/>
                <w:iCs/>
                <w:color w:val="000000"/>
                <w:sz w:val="24"/>
                <w:lang w:val="en-US" w:eastAsia="zh-CN"/>
              </w:rPr>
              <w:t>二是，项目所在地延布市周边配套港口等基础设施较为完善，可为大型工业项目提供较好的电力、道路、供水及物流等配套条件，有利于提高项目建设及运营效率。且具有较好的区域市场辐射能力，可依托红海及阿拉伯湾港口条件，面向中东、北非及欧洲等市场开展产品供应，在运输半径和区域市场覆盖方面具备运营成本优势。</w:t>
            </w:r>
          </w:p>
          <w:p w14:paraId="649BB423">
            <w:pPr>
              <w:keepNext w:val="0"/>
              <w:keepLines w:val="0"/>
              <w:suppressLineNumbers w:val="0"/>
              <w:spacing w:before="0" w:beforeAutospacing="0" w:after="0" w:afterAutospacing="0" w:line="480" w:lineRule="atLeast"/>
              <w:ind w:left="0" w:right="0" w:firstLine="480" w:firstLineChars="200"/>
              <w:rPr>
                <w:rFonts w:hint="eastAsia" w:ascii="Times New Roman" w:hAnsi="Times New Roman" w:cs="Times New Roman"/>
                <w:bCs/>
                <w:iCs/>
                <w:color w:val="000000"/>
                <w:sz w:val="24"/>
                <w:lang w:val="en-US" w:eastAsia="zh-CN"/>
              </w:rPr>
            </w:pPr>
            <w:bookmarkStart w:id="0" w:name="_GoBack"/>
            <w:bookmarkEnd w:id="0"/>
            <w:r>
              <w:rPr>
                <w:rFonts w:hint="eastAsia" w:ascii="Times New Roman" w:hAnsi="Times New Roman" w:cs="Times New Roman"/>
                <w:bCs/>
                <w:iCs/>
                <w:color w:val="000000"/>
                <w:sz w:val="24"/>
                <w:lang w:val="en-US" w:eastAsia="zh-CN"/>
              </w:rPr>
              <w:t>同时有助于开拓欧洲、北美、中东等市场，是加快公司全球化战略，进一步提升公司整体的全球影响力和竞争力的重要一步，同时收获从上游电解铝到下游铝加工的全链路投资收益。谢谢！</w:t>
            </w:r>
          </w:p>
          <w:p w14:paraId="5A26B5C9">
            <w:pPr>
              <w:keepNext w:val="0"/>
              <w:keepLines w:val="0"/>
              <w:suppressLineNumbers w:val="0"/>
              <w:spacing w:before="0" w:beforeAutospacing="0" w:after="0" w:afterAutospacing="0" w:line="480" w:lineRule="atLeast"/>
              <w:ind w:left="0" w:right="0" w:firstLine="482" w:firstLineChars="200"/>
              <w:rPr>
                <w:rFonts w:hint="default" w:ascii="Times New Roman" w:hAnsi="Times New Roman" w:cs="Times New Roman"/>
                <w:b/>
                <w:iCs/>
                <w:color w:val="000000"/>
                <w:sz w:val="24"/>
                <w:lang w:val="en-US" w:eastAsia="zh-CN"/>
              </w:rPr>
            </w:pPr>
            <w:r>
              <w:rPr>
                <w:rFonts w:hint="eastAsia" w:ascii="Times New Roman" w:hAnsi="Times New Roman" w:cs="Times New Roman"/>
                <w:b/>
                <w:iCs/>
                <w:color w:val="000000"/>
                <w:sz w:val="24"/>
                <w:lang w:val="en-US" w:eastAsia="zh-CN"/>
              </w:rPr>
              <w:t>Q2、AI 智能机架、机器人结构件尚处于培育阶段，请问这两块业务预计何时能形成实质收入贡献？</w:t>
            </w:r>
          </w:p>
          <w:p w14:paraId="65410496">
            <w:pPr>
              <w:keepNext w:val="0"/>
              <w:keepLines w:val="0"/>
              <w:suppressLineNumbers w:val="0"/>
              <w:spacing w:before="0" w:beforeAutospacing="0" w:after="0" w:afterAutospacing="0" w:line="480" w:lineRule="atLeast"/>
              <w:ind w:left="0" w:right="0" w:firstLine="480" w:firstLineChars="200"/>
              <w:rPr>
                <w:rFonts w:hint="default" w:ascii="Times New Roman" w:hAnsi="Times New Roman" w:cs="Times New Roman" w:eastAsiaTheme="minorEastAsia"/>
                <w:bCs/>
                <w:iCs/>
                <w:color w:val="000000"/>
                <w:sz w:val="24"/>
                <w:lang w:eastAsia="zh-CN"/>
              </w:rPr>
            </w:pPr>
            <w:r>
              <w:rPr>
                <w:rFonts w:hint="default" w:ascii="Times New Roman" w:hAnsi="Times New Roman" w:cs="Times New Roman"/>
                <w:bCs/>
                <w:iCs/>
                <w:color w:val="000000"/>
                <w:sz w:val="24"/>
                <w:lang w:val="en-US" w:eastAsia="zh-CN"/>
              </w:rPr>
              <w:t>A：</w:t>
            </w:r>
            <w:r>
              <w:rPr>
                <w:rFonts w:hint="eastAsia" w:ascii="Times New Roman" w:hAnsi="Times New Roman" w:cs="Times New Roman"/>
                <w:bCs/>
                <w:iCs/>
                <w:color w:val="000000"/>
                <w:sz w:val="24"/>
                <w:lang w:val="en-US" w:eastAsia="zh-CN"/>
              </w:rPr>
              <w:t>尊敬的投资者，您好!目前上述业务占公司整体收入比例较小，公司将持续关注行业发展趋势，积极把握相关业务机遇，如后续对公司产生重大影响，将按照相关规定履行信息披露义务。敬请投资者注意投资风险，理性判断、审慎决策。具体情况请以公司在指定信息披露媒体披露的定期报告及相关公告为准。谢谢</w:t>
            </w:r>
            <w:r>
              <w:rPr>
                <w:rFonts w:hint="default" w:ascii="Times New Roman" w:hAnsi="Times New Roman" w:cs="Times New Roman"/>
                <w:bCs/>
                <w:iCs/>
                <w:color w:val="000000"/>
                <w:sz w:val="24"/>
                <w:lang w:val="en-US" w:eastAsia="zh-CN"/>
              </w:rPr>
              <w:t>！</w:t>
            </w:r>
          </w:p>
          <w:p w14:paraId="5F832FB5">
            <w:pPr>
              <w:keepNext w:val="0"/>
              <w:keepLines w:val="0"/>
              <w:suppressLineNumbers w:val="0"/>
              <w:spacing w:before="0" w:beforeAutospacing="0" w:after="0" w:afterAutospacing="0" w:line="480" w:lineRule="atLeast"/>
              <w:ind w:left="0" w:right="0" w:firstLine="482" w:firstLineChars="200"/>
              <w:rPr>
                <w:rFonts w:hint="eastAsia" w:ascii="Times New Roman" w:hAnsi="Times New Roman" w:cs="Times New Roman"/>
                <w:b/>
                <w:iCs/>
                <w:color w:val="000000"/>
                <w:sz w:val="24"/>
                <w:lang w:val="en-US" w:eastAsia="zh-CN"/>
              </w:rPr>
            </w:pPr>
            <w:r>
              <w:rPr>
                <w:rFonts w:hint="default" w:ascii="Times New Roman" w:hAnsi="Times New Roman" w:cs="Times New Roman"/>
                <w:b/>
                <w:iCs/>
                <w:color w:val="000000"/>
                <w:sz w:val="24"/>
                <w:lang w:val="en-US" w:eastAsia="zh-CN"/>
              </w:rPr>
              <w:t>Q</w:t>
            </w:r>
            <w:r>
              <w:rPr>
                <w:rFonts w:hint="eastAsia" w:ascii="Times New Roman" w:hAnsi="Times New Roman" w:cs="Times New Roman"/>
                <w:b/>
                <w:iCs/>
                <w:color w:val="000000"/>
                <w:sz w:val="24"/>
                <w:lang w:val="en-US" w:eastAsia="zh-CN"/>
              </w:rPr>
              <w:t>3</w:t>
            </w:r>
            <w:r>
              <w:rPr>
                <w:rFonts w:hint="default" w:ascii="Times New Roman" w:hAnsi="Times New Roman" w:cs="Times New Roman"/>
                <w:b/>
                <w:iCs/>
                <w:color w:val="000000"/>
                <w:sz w:val="24"/>
                <w:lang w:val="en-US" w:eastAsia="zh-CN"/>
              </w:rPr>
              <w:t>、</w:t>
            </w:r>
            <w:r>
              <w:rPr>
                <w:rFonts w:hint="eastAsia" w:ascii="Times New Roman" w:hAnsi="Times New Roman" w:cs="Times New Roman"/>
                <w:b/>
                <w:iCs/>
                <w:color w:val="000000"/>
                <w:sz w:val="24"/>
                <w:lang w:val="en-US" w:eastAsia="zh-CN"/>
              </w:rPr>
              <w:t>公司二季度单季盈利有所承压，下半年通过哪些举措能够进一步提升整体综合毛利率？</w:t>
            </w:r>
          </w:p>
          <w:p w14:paraId="7C0FD312">
            <w:pPr>
              <w:keepNext w:val="0"/>
              <w:keepLines w:val="0"/>
              <w:suppressLineNumbers w:val="0"/>
              <w:spacing w:before="0" w:beforeAutospacing="0" w:after="0" w:afterAutospacing="0" w:line="480" w:lineRule="atLeast"/>
              <w:ind w:left="0" w:right="0" w:firstLine="480" w:firstLineChars="200"/>
              <w:rPr>
                <w:rFonts w:hint="default" w:ascii="宋体" w:hAnsi="宋体" w:eastAsia="宋体" w:cs="宋体"/>
                <w:sz w:val="24"/>
                <w:szCs w:val="24"/>
                <w:lang w:val="en-US" w:eastAsia="zh-CN"/>
              </w:rPr>
            </w:pPr>
            <w:r>
              <w:rPr>
                <w:rFonts w:hint="eastAsia" w:ascii="Times New Roman" w:hAnsi="Times New Roman" w:cs="Times New Roman"/>
                <w:bCs/>
                <w:iCs/>
                <w:color w:val="000000"/>
                <w:sz w:val="24"/>
                <w:lang w:val="en-US" w:eastAsia="zh-CN"/>
              </w:rPr>
              <w:t>A：尊敬的投资者，您好!公司将努力通过优化产品结构、提高自动化水平、采用先进生产技术和节能降耗的管控措施提高生产效率，同时提高高附加值产品占比，进而实现提升整体毛利率和降低成本的目标。谢谢!</w:t>
            </w:r>
          </w:p>
        </w:tc>
      </w:tr>
      <w:tr w14:paraId="31DC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0ECD60D9">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rPr>
            </w:pPr>
            <w:r>
              <w:rPr>
                <w:rFonts w:hint="default" w:ascii="Times New Roman" w:hAnsi="Times New Roman" w:cs="Times New Roman"/>
                <w:bCs/>
                <w:iCs/>
                <w:color w:val="000000"/>
                <w:sz w:val="24"/>
              </w:rPr>
              <w:t>业务附件清单（如有）</w:t>
            </w:r>
          </w:p>
        </w:tc>
        <w:tc>
          <w:tcPr>
            <w:tcW w:w="6614" w:type="dxa"/>
            <w:tcBorders>
              <w:top w:val="single" w:color="auto" w:sz="4" w:space="0"/>
              <w:left w:val="single" w:color="auto" w:sz="4" w:space="0"/>
              <w:bottom w:val="single" w:color="auto" w:sz="4" w:space="0"/>
              <w:right w:val="single" w:color="auto" w:sz="4" w:space="0"/>
            </w:tcBorders>
            <w:vAlign w:val="center"/>
          </w:tcPr>
          <w:p w14:paraId="1315A516">
            <w:pPr>
              <w:keepNext w:val="0"/>
              <w:keepLines w:val="0"/>
              <w:suppressLineNumbers w:val="0"/>
              <w:spacing w:before="0" w:beforeAutospacing="0" w:after="0" w:afterAutospacing="0" w:line="480" w:lineRule="atLeast"/>
              <w:ind w:left="0" w:right="0" w:firstLine="480" w:firstLineChars="200"/>
              <w:rPr>
                <w:rFonts w:hint="default" w:ascii="Times New Roman" w:hAnsi="Times New Roman" w:cs="Times New Roman"/>
                <w:sz w:val="20"/>
              </w:rPr>
            </w:pPr>
            <w:r>
              <w:rPr>
                <w:rFonts w:hint="default" w:ascii="Times New Roman" w:hAnsi="Times New Roman" w:cs="Times New Roman"/>
                <w:bCs/>
                <w:iCs/>
                <w:color w:val="000000"/>
                <w:sz w:val="24"/>
              </w:rPr>
              <w:t>无</w:t>
            </w:r>
          </w:p>
        </w:tc>
      </w:tr>
      <w:tr w14:paraId="719C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198F68D9">
            <w:pPr>
              <w:keepNext w:val="0"/>
              <w:keepLines w:val="0"/>
              <w:suppressLineNumbers w:val="0"/>
              <w:spacing w:before="0" w:beforeAutospacing="0" w:after="0" w:afterAutospacing="0" w:line="480" w:lineRule="atLeast"/>
              <w:ind w:left="0" w:right="0"/>
              <w:rPr>
                <w:rFonts w:hint="default" w:ascii="Times New Roman" w:hAnsi="Times New Roman" w:cs="Times New Roman"/>
                <w:bCs/>
                <w:iCs/>
                <w:color w:val="000000"/>
                <w:sz w:val="24"/>
              </w:rPr>
            </w:pPr>
            <w:r>
              <w:rPr>
                <w:rFonts w:hint="default" w:ascii="Times New Roman" w:hAnsi="Times New Roman" w:cs="Times New Roman"/>
                <w:bCs/>
                <w:iCs/>
                <w:color w:val="000000"/>
                <w:sz w:val="24"/>
              </w:rPr>
              <w:t>日期</w:t>
            </w:r>
          </w:p>
        </w:tc>
        <w:tc>
          <w:tcPr>
            <w:tcW w:w="6614" w:type="dxa"/>
            <w:tcBorders>
              <w:top w:val="single" w:color="auto" w:sz="4" w:space="0"/>
              <w:left w:val="single" w:color="auto" w:sz="4" w:space="0"/>
              <w:bottom w:val="single" w:color="auto" w:sz="4" w:space="0"/>
              <w:right w:val="single" w:color="auto" w:sz="4" w:space="0"/>
            </w:tcBorders>
          </w:tcPr>
          <w:p w14:paraId="6788AE60">
            <w:pPr>
              <w:keepNext w:val="0"/>
              <w:keepLines w:val="0"/>
              <w:suppressLineNumbers w:val="0"/>
              <w:spacing w:before="0" w:beforeAutospacing="0" w:after="0" w:afterAutospacing="0" w:line="480" w:lineRule="atLeast"/>
              <w:ind w:left="0" w:right="0" w:firstLine="480" w:firstLineChars="200"/>
              <w:rPr>
                <w:rFonts w:hint="default" w:ascii="Times New Roman" w:hAnsi="Times New Roman" w:cs="Times New Roman"/>
                <w:sz w:val="20"/>
              </w:rPr>
            </w:pPr>
            <w:r>
              <w:rPr>
                <w:rFonts w:hint="default" w:ascii="Times New Roman" w:hAnsi="Times New Roman" w:cs="Times New Roman"/>
                <w:bCs/>
                <w:iCs/>
                <w:color w:val="000000"/>
                <w:sz w:val="24"/>
              </w:rPr>
              <w:t>202</w:t>
            </w:r>
            <w:r>
              <w:rPr>
                <w:rFonts w:hint="default" w:ascii="Times New Roman" w:hAnsi="Times New Roman" w:cs="Times New Roman"/>
                <w:bCs/>
                <w:iCs/>
                <w:color w:val="000000"/>
                <w:sz w:val="24"/>
                <w:lang w:val="en-US" w:eastAsia="zh-CN"/>
              </w:rPr>
              <w:t>6</w:t>
            </w:r>
            <w:r>
              <w:rPr>
                <w:rFonts w:hint="default" w:ascii="Times New Roman" w:hAnsi="Times New Roman" w:cs="Times New Roman"/>
                <w:bCs/>
                <w:iCs/>
                <w:color w:val="000000"/>
                <w:sz w:val="24"/>
              </w:rPr>
              <w:t>年</w:t>
            </w:r>
            <w:r>
              <w:rPr>
                <w:rFonts w:hint="eastAsia" w:ascii="Times New Roman" w:hAnsi="Times New Roman" w:cs="Times New Roman"/>
                <w:bCs/>
                <w:iCs/>
                <w:color w:val="000000"/>
                <w:sz w:val="24"/>
                <w:lang w:val="en-US" w:eastAsia="zh-CN"/>
              </w:rPr>
              <w:t>9</w:t>
            </w:r>
            <w:r>
              <w:rPr>
                <w:rFonts w:hint="default" w:ascii="Times New Roman" w:hAnsi="Times New Roman" w:cs="Times New Roman"/>
                <w:bCs/>
                <w:iCs/>
                <w:color w:val="000000"/>
                <w:sz w:val="24"/>
              </w:rPr>
              <w:t>月</w:t>
            </w:r>
            <w:r>
              <w:rPr>
                <w:rFonts w:hint="eastAsia" w:ascii="Times New Roman" w:hAnsi="Times New Roman" w:cs="Times New Roman"/>
                <w:bCs/>
                <w:iCs/>
                <w:color w:val="000000"/>
                <w:sz w:val="24"/>
                <w:lang w:val="en-US" w:eastAsia="zh-CN"/>
              </w:rPr>
              <w:t>11</w:t>
            </w:r>
            <w:r>
              <w:rPr>
                <w:rFonts w:hint="default" w:ascii="Times New Roman" w:hAnsi="Times New Roman" w:cs="Times New Roman"/>
                <w:bCs/>
                <w:iCs/>
                <w:color w:val="000000"/>
                <w:sz w:val="24"/>
              </w:rPr>
              <w:t>日</w:t>
            </w:r>
          </w:p>
        </w:tc>
      </w:tr>
    </w:tbl>
    <w:p w14:paraId="1A074F82">
      <w:pPr>
        <w:rPr>
          <w:rFonts w:hint="default" w:ascii="Times New Roman" w:hAnsi="Times New Roman" w:cs="Times New Roman"/>
        </w:rPr>
      </w:pPr>
    </w:p>
    <w:p w14:paraId="51C2BD2F">
      <w:pPr>
        <w:widowControl/>
        <w:jc w:val="left"/>
        <w:rPr>
          <w:rFonts w:hint="default" w:ascii="Times New Roman" w:hAnsi="Times New Roman" w:cs="Times New Roman"/>
        </w:rPr>
      </w:pPr>
    </w:p>
    <w:sectPr>
      <w:footerReference r:id="rId3" w:type="default"/>
      <w:pgSz w:w="11906" w:h="16838"/>
      <w:pgMar w:top="1213" w:right="1800" w:bottom="1213"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3E10ABD-33E8-46E7-A0D3-D64ACD4891C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8B85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F3AAD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0F3AAD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RkMmUyYmQzZTc5Y2U4YTRkMThhYjFmYjIyNDYxMDIifQ=="/>
  </w:docVars>
  <w:rsids>
    <w:rsidRoot w:val="008A748A"/>
    <w:rsid w:val="0000365A"/>
    <w:rsid w:val="000122F7"/>
    <w:rsid w:val="00013FC1"/>
    <w:rsid w:val="00031734"/>
    <w:rsid w:val="00034019"/>
    <w:rsid w:val="0003536D"/>
    <w:rsid w:val="000437F7"/>
    <w:rsid w:val="00046EDD"/>
    <w:rsid w:val="00067147"/>
    <w:rsid w:val="0007522E"/>
    <w:rsid w:val="000C68FC"/>
    <w:rsid w:val="000E050D"/>
    <w:rsid w:val="000E415C"/>
    <w:rsid w:val="000E6F07"/>
    <w:rsid w:val="00102387"/>
    <w:rsid w:val="00132034"/>
    <w:rsid w:val="00140F83"/>
    <w:rsid w:val="001444C3"/>
    <w:rsid w:val="00163536"/>
    <w:rsid w:val="001733D8"/>
    <w:rsid w:val="00191E21"/>
    <w:rsid w:val="001A2456"/>
    <w:rsid w:val="001B0A84"/>
    <w:rsid w:val="001B5E28"/>
    <w:rsid w:val="001D1E27"/>
    <w:rsid w:val="001E439A"/>
    <w:rsid w:val="001E63BA"/>
    <w:rsid w:val="001F430F"/>
    <w:rsid w:val="001F7F12"/>
    <w:rsid w:val="00203230"/>
    <w:rsid w:val="00212BA3"/>
    <w:rsid w:val="00227180"/>
    <w:rsid w:val="00255C6A"/>
    <w:rsid w:val="0026063D"/>
    <w:rsid w:val="00263D71"/>
    <w:rsid w:val="00277CD7"/>
    <w:rsid w:val="002A1987"/>
    <w:rsid w:val="002A5386"/>
    <w:rsid w:val="002A5CBD"/>
    <w:rsid w:val="002A7F3A"/>
    <w:rsid w:val="002B1C89"/>
    <w:rsid w:val="002B3416"/>
    <w:rsid w:val="002B42D2"/>
    <w:rsid w:val="002F03B1"/>
    <w:rsid w:val="002F4D76"/>
    <w:rsid w:val="00321EF3"/>
    <w:rsid w:val="00323693"/>
    <w:rsid w:val="00325D47"/>
    <w:rsid w:val="0035619C"/>
    <w:rsid w:val="00383427"/>
    <w:rsid w:val="00394BC7"/>
    <w:rsid w:val="003A2B9D"/>
    <w:rsid w:val="003D5403"/>
    <w:rsid w:val="003E0C7D"/>
    <w:rsid w:val="00403805"/>
    <w:rsid w:val="00406A7A"/>
    <w:rsid w:val="00440DAB"/>
    <w:rsid w:val="0046261D"/>
    <w:rsid w:val="004734C0"/>
    <w:rsid w:val="00473A31"/>
    <w:rsid w:val="0049462F"/>
    <w:rsid w:val="004966A8"/>
    <w:rsid w:val="004A3760"/>
    <w:rsid w:val="004E016C"/>
    <w:rsid w:val="004F214F"/>
    <w:rsid w:val="005041F7"/>
    <w:rsid w:val="00523FE8"/>
    <w:rsid w:val="00531993"/>
    <w:rsid w:val="00537646"/>
    <w:rsid w:val="00550BC6"/>
    <w:rsid w:val="00557148"/>
    <w:rsid w:val="00564936"/>
    <w:rsid w:val="00565FAF"/>
    <w:rsid w:val="00566740"/>
    <w:rsid w:val="00570362"/>
    <w:rsid w:val="005C34D3"/>
    <w:rsid w:val="005F276B"/>
    <w:rsid w:val="00613794"/>
    <w:rsid w:val="006352F2"/>
    <w:rsid w:val="0065489B"/>
    <w:rsid w:val="00667144"/>
    <w:rsid w:val="006701BB"/>
    <w:rsid w:val="006731C7"/>
    <w:rsid w:val="00680595"/>
    <w:rsid w:val="006A3279"/>
    <w:rsid w:val="006B1DCC"/>
    <w:rsid w:val="006D2865"/>
    <w:rsid w:val="006E2D01"/>
    <w:rsid w:val="006F7DAD"/>
    <w:rsid w:val="00720665"/>
    <w:rsid w:val="00721EB7"/>
    <w:rsid w:val="00724648"/>
    <w:rsid w:val="00727158"/>
    <w:rsid w:val="00735644"/>
    <w:rsid w:val="00736EB3"/>
    <w:rsid w:val="00753734"/>
    <w:rsid w:val="00765A90"/>
    <w:rsid w:val="00767DA7"/>
    <w:rsid w:val="00784B07"/>
    <w:rsid w:val="0079519B"/>
    <w:rsid w:val="007A77BB"/>
    <w:rsid w:val="007B1BC3"/>
    <w:rsid w:val="007C1BD3"/>
    <w:rsid w:val="007E3AFD"/>
    <w:rsid w:val="00836F80"/>
    <w:rsid w:val="00853A4C"/>
    <w:rsid w:val="008576F5"/>
    <w:rsid w:val="008645DE"/>
    <w:rsid w:val="00871224"/>
    <w:rsid w:val="00883383"/>
    <w:rsid w:val="008900AA"/>
    <w:rsid w:val="008A4C18"/>
    <w:rsid w:val="008A748A"/>
    <w:rsid w:val="008C5C0E"/>
    <w:rsid w:val="008E04B2"/>
    <w:rsid w:val="008E0FF8"/>
    <w:rsid w:val="008E4F16"/>
    <w:rsid w:val="008F0386"/>
    <w:rsid w:val="008F44A5"/>
    <w:rsid w:val="00904085"/>
    <w:rsid w:val="00913880"/>
    <w:rsid w:val="00915435"/>
    <w:rsid w:val="00926710"/>
    <w:rsid w:val="00937768"/>
    <w:rsid w:val="00972284"/>
    <w:rsid w:val="00983C44"/>
    <w:rsid w:val="009963C9"/>
    <w:rsid w:val="00997460"/>
    <w:rsid w:val="009D7ABC"/>
    <w:rsid w:val="00A02E43"/>
    <w:rsid w:val="00A15357"/>
    <w:rsid w:val="00A175DB"/>
    <w:rsid w:val="00A178F8"/>
    <w:rsid w:val="00A24CC7"/>
    <w:rsid w:val="00A63475"/>
    <w:rsid w:val="00A8649A"/>
    <w:rsid w:val="00A902BF"/>
    <w:rsid w:val="00AC0755"/>
    <w:rsid w:val="00AE1140"/>
    <w:rsid w:val="00AE1842"/>
    <w:rsid w:val="00AF0550"/>
    <w:rsid w:val="00AF507B"/>
    <w:rsid w:val="00B05B16"/>
    <w:rsid w:val="00B2104F"/>
    <w:rsid w:val="00B27A1D"/>
    <w:rsid w:val="00B52618"/>
    <w:rsid w:val="00B555CA"/>
    <w:rsid w:val="00B67909"/>
    <w:rsid w:val="00B67BC2"/>
    <w:rsid w:val="00B72121"/>
    <w:rsid w:val="00BE62A9"/>
    <w:rsid w:val="00BE7DCE"/>
    <w:rsid w:val="00C01851"/>
    <w:rsid w:val="00C100EA"/>
    <w:rsid w:val="00C312D4"/>
    <w:rsid w:val="00C73C03"/>
    <w:rsid w:val="00C76EF2"/>
    <w:rsid w:val="00C80D4D"/>
    <w:rsid w:val="00C83323"/>
    <w:rsid w:val="00C83927"/>
    <w:rsid w:val="00C849C1"/>
    <w:rsid w:val="00CF00F7"/>
    <w:rsid w:val="00D003CE"/>
    <w:rsid w:val="00D81BBB"/>
    <w:rsid w:val="00D90D40"/>
    <w:rsid w:val="00D92513"/>
    <w:rsid w:val="00D9282A"/>
    <w:rsid w:val="00DA02DD"/>
    <w:rsid w:val="00DB3DEF"/>
    <w:rsid w:val="00DD2CF6"/>
    <w:rsid w:val="00E05D76"/>
    <w:rsid w:val="00E12A72"/>
    <w:rsid w:val="00E175C6"/>
    <w:rsid w:val="00E23343"/>
    <w:rsid w:val="00E30058"/>
    <w:rsid w:val="00E82FE5"/>
    <w:rsid w:val="00EA4D8D"/>
    <w:rsid w:val="00EB156A"/>
    <w:rsid w:val="00EB491F"/>
    <w:rsid w:val="00ED291D"/>
    <w:rsid w:val="00ED6CEE"/>
    <w:rsid w:val="00EE362E"/>
    <w:rsid w:val="00F161B7"/>
    <w:rsid w:val="00F535BD"/>
    <w:rsid w:val="00F61BAF"/>
    <w:rsid w:val="00F9501F"/>
    <w:rsid w:val="00FA711B"/>
    <w:rsid w:val="00FF1969"/>
    <w:rsid w:val="02005B8D"/>
    <w:rsid w:val="025D7143"/>
    <w:rsid w:val="02F2197A"/>
    <w:rsid w:val="034807D7"/>
    <w:rsid w:val="03C96DF2"/>
    <w:rsid w:val="052D4EEB"/>
    <w:rsid w:val="062260D2"/>
    <w:rsid w:val="06702B29"/>
    <w:rsid w:val="0687687D"/>
    <w:rsid w:val="080D384C"/>
    <w:rsid w:val="097441F4"/>
    <w:rsid w:val="0A4A3E4A"/>
    <w:rsid w:val="0AF17E80"/>
    <w:rsid w:val="0DC33ED5"/>
    <w:rsid w:val="0FAE6C29"/>
    <w:rsid w:val="0FC14BAE"/>
    <w:rsid w:val="10262C63"/>
    <w:rsid w:val="148D5389"/>
    <w:rsid w:val="14982228"/>
    <w:rsid w:val="152624AE"/>
    <w:rsid w:val="15467F0C"/>
    <w:rsid w:val="159C7321"/>
    <w:rsid w:val="16A576FF"/>
    <w:rsid w:val="17157A95"/>
    <w:rsid w:val="17C35253"/>
    <w:rsid w:val="19375EE1"/>
    <w:rsid w:val="195C5947"/>
    <w:rsid w:val="1C611F6A"/>
    <w:rsid w:val="1CC33479"/>
    <w:rsid w:val="1EF16B46"/>
    <w:rsid w:val="1F44191F"/>
    <w:rsid w:val="1F8C45EE"/>
    <w:rsid w:val="20E701EC"/>
    <w:rsid w:val="23E1433B"/>
    <w:rsid w:val="243E118D"/>
    <w:rsid w:val="24743B45"/>
    <w:rsid w:val="252E7E41"/>
    <w:rsid w:val="2593449F"/>
    <w:rsid w:val="26FB22FC"/>
    <w:rsid w:val="276C144B"/>
    <w:rsid w:val="27930786"/>
    <w:rsid w:val="28446A3F"/>
    <w:rsid w:val="2A8A04DA"/>
    <w:rsid w:val="2C2416B4"/>
    <w:rsid w:val="2D0B37A7"/>
    <w:rsid w:val="2EEB70FA"/>
    <w:rsid w:val="3115220C"/>
    <w:rsid w:val="312D1C4B"/>
    <w:rsid w:val="31C26583"/>
    <w:rsid w:val="31D245A1"/>
    <w:rsid w:val="34394463"/>
    <w:rsid w:val="34C44675"/>
    <w:rsid w:val="36DE6B45"/>
    <w:rsid w:val="389820A0"/>
    <w:rsid w:val="3A1219DE"/>
    <w:rsid w:val="3B223EA3"/>
    <w:rsid w:val="3E0E070F"/>
    <w:rsid w:val="40DB5220"/>
    <w:rsid w:val="41F8269F"/>
    <w:rsid w:val="42C9661D"/>
    <w:rsid w:val="438F5E4E"/>
    <w:rsid w:val="43DB1093"/>
    <w:rsid w:val="4441183E"/>
    <w:rsid w:val="44EF2D10"/>
    <w:rsid w:val="45826E17"/>
    <w:rsid w:val="45D76C57"/>
    <w:rsid w:val="462558F9"/>
    <w:rsid w:val="46410341"/>
    <w:rsid w:val="48AC2FFE"/>
    <w:rsid w:val="4B3C1CC8"/>
    <w:rsid w:val="4D1F167F"/>
    <w:rsid w:val="4E4639B7"/>
    <w:rsid w:val="4F432C57"/>
    <w:rsid w:val="4F5010E4"/>
    <w:rsid w:val="50CD66BC"/>
    <w:rsid w:val="521F6F37"/>
    <w:rsid w:val="525C226C"/>
    <w:rsid w:val="53AE2320"/>
    <w:rsid w:val="53D36AD9"/>
    <w:rsid w:val="56424FA2"/>
    <w:rsid w:val="576D42A0"/>
    <w:rsid w:val="5B2B614D"/>
    <w:rsid w:val="5C8A31FF"/>
    <w:rsid w:val="5E4775F9"/>
    <w:rsid w:val="5EAC5272"/>
    <w:rsid w:val="600871C3"/>
    <w:rsid w:val="60B7170A"/>
    <w:rsid w:val="633A4925"/>
    <w:rsid w:val="64CC2606"/>
    <w:rsid w:val="64CE38BC"/>
    <w:rsid w:val="66925AD1"/>
    <w:rsid w:val="66DB2FC1"/>
    <w:rsid w:val="678371C8"/>
    <w:rsid w:val="689232B8"/>
    <w:rsid w:val="69D65CD5"/>
    <w:rsid w:val="6BAD2A66"/>
    <w:rsid w:val="6D8048D6"/>
    <w:rsid w:val="6DE775D0"/>
    <w:rsid w:val="6E8C4BC7"/>
    <w:rsid w:val="6F691832"/>
    <w:rsid w:val="70524F5E"/>
    <w:rsid w:val="70757FF6"/>
    <w:rsid w:val="70877018"/>
    <w:rsid w:val="71B72890"/>
    <w:rsid w:val="72926AFF"/>
    <w:rsid w:val="73D732B2"/>
    <w:rsid w:val="744D4DE6"/>
    <w:rsid w:val="773A3D47"/>
    <w:rsid w:val="77A94A29"/>
    <w:rsid w:val="79607F90"/>
    <w:rsid w:val="7B2E771F"/>
    <w:rsid w:val="7C854063"/>
    <w:rsid w:val="7C8B37A8"/>
    <w:rsid w:val="7F8514F9"/>
    <w:rsid w:val="7FAB67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1"/>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7">
    <w:name w:val="annotation subject"/>
    <w:basedOn w:val="2"/>
    <w:next w:val="2"/>
    <w:link w:val="15"/>
    <w:autoRedefine/>
    <w:semiHidden/>
    <w:unhideWhenUsed/>
    <w:qFormat/>
    <w:uiPriority w:val="99"/>
    <w:rPr>
      <w:b/>
      <w:bCs/>
    </w:rPr>
  </w:style>
  <w:style w:type="character" w:styleId="10">
    <w:name w:val="annotation reference"/>
    <w:basedOn w:val="9"/>
    <w:autoRedefine/>
    <w:semiHidden/>
    <w:unhideWhenUsed/>
    <w:qFormat/>
    <w:uiPriority w:val="99"/>
    <w:rPr>
      <w:sz w:val="21"/>
      <w:szCs w:val="21"/>
    </w:rPr>
  </w:style>
  <w:style w:type="character" w:customStyle="1" w:styleId="11">
    <w:name w:val="批注框文本 字符"/>
    <w:basedOn w:val="9"/>
    <w:link w:val="3"/>
    <w:autoRedefine/>
    <w:semiHidden/>
    <w:qFormat/>
    <w:uiPriority w:val="99"/>
    <w:rPr>
      <w:sz w:val="18"/>
      <w:szCs w:val="18"/>
    </w:rPr>
  </w:style>
  <w:style w:type="character" w:customStyle="1" w:styleId="12">
    <w:name w:val="页眉 字符"/>
    <w:basedOn w:val="9"/>
    <w:link w:val="5"/>
    <w:autoRedefine/>
    <w:qFormat/>
    <w:uiPriority w:val="99"/>
    <w:rPr>
      <w:sz w:val="18"/>
      <w:szCs w:val="18"/>
    </w:rPr>
  </w:style>
  <w:style w:type="character" w:customStyle="1" w:styleId="13">
    <w:name w:val="页脚 字符"/>
    <w:basedOn w:val="9"/>
    <w:link w:val="4"/>
    <w:autoRedefine/>
    <w:qFormat/>
    <w:uiPriority w:val="99"/>
    <w:rPr>
      <w:sz w:val="18"/>
      <w:szCs w:val="18"/>
    </w:rPr>
  </w:style>
  <w:style w:type="character" w:customStyle="1" w:styleId="14">
    <w:name w:val="批注文字 字符"/>
    <w:basedOn w:val="9"/>
    <w:link w:val="2"/>
    <w:autoRedefine/>
    <w:semiHidden/>
    <w:qFormat/>
    <w:uiPriority w:val="99"/>
    <w:rPr>
      <w:rFonts w:asciiTheme="minorHAnsi" w:hAnsiTheme="minorHAnsi" w:eastAsiaTheme="minorEastAsia" w:cstheme="minorBidi"/>
      <w:kern w:val="2"/>
      <w:sz w:val="21"/>
      <w:szCs w:val="22"/>
    </w:rPr>
  </w:style>
  <w:style w:type="character" w:customStyle="1" w:styleId="15">
    <w:name w:val="批注主题 字符"/>
    <w:basedOn w:val="14"/>
    <w:link w:val="7"/>
    <w:autoRedefine/>
    <w:semiHidden/>
    <w:qFormat/>
    <w:uiPriority w:val="99"/>
    <w:rPr>
      <w:rFonts w:asciiTheme="minorHAnsi" w:hAnsiTheme="minorHAnsi" w:eastAsiaTheme="minorEastAsia" w:cstheme="minorBidi"/>
      <w:b/>
      <w:bCs/>
      <w:kern w:val="2"/>
      <w:sz w:val="21"/>
      <w:szCs w:val="22"/>
    </w:rPr>
  </w:style>
  <w:style w:type="paragraph" w:styleId="16">
    <w:name w:val="List Paragraph"/>
    <w:basedOn w:val="1"/>
    <w:unhideWhenUsed/>
    <w:qFormat/>
    <w:uiPriority w:val="99"/>
    <w:pPr>
      <w:ind w:firstLine="420" w:firstLineChars="200"/>
    </w:pPr>
  </w:style>
  <w:style w:type="paragraph" w:customStyle="1" w:styleId="17">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5f15b05d-fc30-459a-86f5-8318b1739d1e</errorID>
      <errorWord>：</errorWord>
      <group>L1_Format</group>
      <groupName>格式问题</groupName>
      <ability>L2_HalfPunc</ability>
      <abilityName>全半角检查</abilityName>
      <candidateList>
        <item>:</item>
      </candidateList>
      <explain>文本全半角错误。</explain>
      <paraID>189FAEBF</paraID>
      <start>12</start>
      <end>13</end>
      <status>unmodified</status>
      <modifiedWord/>
      <trackRevisions>false</trackRevisions>
    </reviewItem>
    <reviewItem>
      <errorID>cea6cc55-9608-42ee-b67b-d5d9bce983e5</errorID>
      <errorWord>：</errorWord>
      <group>L1_Format</group>
      <groupName>格式问题</groupName>
      <ability>L2_HalfPunc</ability>
      <abilityName>全半角检查</abilityName>
      <candidateList>
        <item>:</item>
      </candidateList>
      <explain>文本全半角错误。</explain>
      <paraID>189FAEBF</paraID>
      <start>18</start>
      <end>19</end>
      <status>unmodified</status>
      <modifiedWord/>
      <trackRevisions>false</trackRevisions>
    </reviewItem>
    <reviewItem>
      <errorID>bdf5a144-940c-453f-85c7-9b453f9d8cb9</errorID>
      <errorWord>(</errorWord>
      <group>L1_Format</group>
      <groupName>格式问题</groupName>
      <ability>L2_HalfPunc</ability>
      <abilityName>全半角检查</abilityName>
      <candidateList>
        <item>（</item>
      </candidateList>
      <explain>文本全半角错误。</explain>
      <paraID>65410496</paraID>
      <start>114</start>
      <end>115</end>
      <status>unmodified</status>
      <modifiedWord/>
      <trackRevisions>false</trackRevisions>
    </reviewItem>
    <reviewItem>
      <errorID>d0f640e6-e038-45f0-a32d-5c5df3aba4f5</errorID>
      <errorWord>)</errorWord>
      <group>L1_Format</group>
      <groupName>格式问题</groupName>
      <ability>L2_HalfPunc</ability>
      <abilityName>全半角检查</abilityName>
      <candidateList>
        <item>）</item>
      </candidateList>
      <explain>文本全半角错误。</explain>
      <paraID>65410496</paraID>
      <start>118</start>
      <end>119</end>
      <status>unmodified</status>
      <modifiedWord/>
      <trackRevisions>false</trackRevisions>
    </reviewItem>
    <reviewItem>
      <errorID>bd230f79-0527-4c9b-9700-29fd82d5dce1</errorID>
      <errorWord>(</errorWord>
      <group>L1_Format</group>
      <groupName>格式问题</groupName>
      <ability>L2_HalfPunc</ability>
      <abilityName>全半角检查</abilityName>
      <candidateList>
        <item>（</item>
      </candidateList>
      <explain>文本全半角错误。</explain>
      <paraID>410211AD</paraID>
      <start>3</start>
      <end>4</end>
      <status>unmodified</status>
      <modifiedWord/>
      <trackRevisions>false</trackRevisions>
    </reviewItem>
    <reviewItem>
      <errorID>6cd849a8-d705-44a4-88f8-ad0535ba39c7</errorID>
      <errorWord>)</errorWord>
      <group>L1_Format</group>
      <groupName>格式问题</groupName>
      <ability>L2_HalfPunc</ability>
      <abilityName>全半角检查</abilityName>
      <candidateList>
        <item>）</item>
      </candidateList>
      <explain>文本全半角错误。</explain>
      <paraID>410211AD</paraID>
      <start>6</start>
      <end>7</end>
      <status>unmodified</status>
      <modifiedWord/>
      <trackRevisions>false</trackRevisions>
    </reviewItem>
    <reviewItem>
      <errorID>1c8316b9-d987-4502-8ad2-d8c1bc6668e1</errorID>
      <errorWord>(</errorWord>
      <group>L1_Format</group>
      <groupName>格式问题</groupName>
      <ability>L2_HalfPunc</ability>
      <abilityName>全半角检查</abilityName>
      <candidateList>
        <item>（</item>
      </candidateList>
      <explain>文本全半角错误。</explain>
      <paraID>6BCD4FC0</paraID>
      <start>8</start>
      <end>9</end>
      <status>unmodified</status>
      <modifiedWord/>
      <trackRevisions>false</trackRevisions>
    </reviewItem>
    <reviewItem>
      <errorID>45e1e89a-d0f1-440e-becb-b49dd44e3e70</errorID>
      <errorWord>)</errorWord>
      <group>L1_Format</group>
      <groupName>格式问题</groupName>
      <ability>L2_HalfPunc</ability>
      <abilityName>全半角检查</abilityName>
      <candidateList>
        <item>）</item>
      </candidateList>
      <explain>文本全半角错误。</explain>
      <paraID>6BCD4FC0</paraID>
      <start>11</start>
      <end>12</end>
      <status>unmodified</status>
      <modifiedWord/>
      <trackRevisions>false</trackRevisions>
    </reviewItem>
    <reviewItem>
      <errorID>1b4566c3-5085-4dc0-8078-da60e4932b83</errorID>
      <errorWord>(</errorWord>
      <group>L1_Format</group>
      <groupName>格式问题</groupName>
      <ability>L2_HalfPunc</ability>
      <abilityName>全半角检查</abilityName>
      <candidateList>
        <item>（</item>
      </candidateList>
      <explain>文本全半角错误。</explain>
      <paraID>327EC5C9</paraID>
      <start>12</start>
      <end>13</end>
      <status>unmodified</status>
      <modifiedWord/>
      <trackRevisions>false</trackRevisions>
    </reviewItem>
    <reviewItem>
      <errorID>9d27a91f-5c9f-4fa7-acfa-03bb4ff8d72b</errorID>
      <errorWord>)</errorWord>
      <group>L1_Format</group>
      <groupName>格式问题</groupName>
      <ability>L2_HalfPunc</ability>
      <abilityName>全半角检查</abilityName>
      <candidateList>
        <item>）</item>
      </candidateList>
      <explain>文本全半角错误。</explain>
      <paraID>327EC5C9</paraID>
      <start>17</start>
      <end>18</end>
      <status>unmodified</status>
      <modifiedWord/>
      <trackRevisions>false</trackRevisions>
    </reviewItem>
    <reviewItem>
      <errorID>6a217694-e3be-435e-b37a-88a059ec99af</errorID>
      <errorWord>(</errorWord>
      <group>L1_Format</group>
      <groupName>格式问题</groupName>
      <ability>L2_HalfPunc</ability>
      <abilityName>全半角检查</abilityName>
      <candidateList>
        <item>（</item>
      </candidateList>
      <explain>文本全半角错误。</explain>
      <paraID>1491DDBB</paraID>
      <start>13</start>
      <end>14</end>
      <status>unmodified</status>
      <modifiedWord/>
      <trackRevisions>false</trackRevisions>
    </reviewItem>
    <reviewItem>
      <errorID>17501624-7d7e-4bb0-b370-00a1ca5b7f5e</errorID>
      <errorWord>)</errorWord>
      <group>L1_Format</group>
      <groupName>格式问题</groupName>
      <ability>L2_HalfPunc</ability>
      <abilityName>全半角检查</abilityName>
      <candidateList>
        <item>）</item>
      </candidateList>
      <explain>文本全半角错误。</explain>
      <paraID>1491DDBB</paraID>
      <start>16</start>
      <end>17</end>
      <status>unmodified</status>
      <modifiedWord/>
      <trackRevisions>false</trackRevisions>
    </reviewItem>
    <reviewItem>
      <errorID>702cd430-fd85-427f-879a-cc1bd9721e85</errorID>
      <errorWord>(</errorWord>
      <group>L1_Format</group>
      <groupName>格式问题</groupName>
      <ability>L2_HalfPunc</ability>
      <abilityName>全半角检查</abilityName>
      <candidateList>
        <item>（</item>
      </candidateList>
      <explain>文本全半角错误。</explain>
      <paraID>1491DDBB</paraID>
      <start>21</start>
      <end>22</end>
      <status>unmodified</status>
      <modifiedWord/>
      <trackRevisions>false</trackRevisions>
    </reviewItem>
    <reviewItem>
      <errorID>477dc870-adc9-4c01-a0f8-5b6f3e12ba96</errorID>
      <errorWord>)</errorWord>
      <group>L1_Format</group>
      <groupName>格式问题</groupName>
      <ability>L2_HalfPunc</ability>
      <abilityName>全半角检查</abilityName>
      <candidateList>
        <item>）</item>
      </candidateList>
      <explain>文本全半角错误。</explain>
      <paraID>1491DDBB</paraID>
      <start>26</start>
      <end>27</end>
      <status>unmodified</status>
      <modifiedWord/>
      <trackRevisions>false</trackRevisions>
    </reviewItem>
    <reviewItem>
      <errorID>0dd026b9-5aec-4e8e-9132-e07a06cbf529</errorID>
      <errorWord>湧</errorWord>
      <group>L1_Word</group>
      <groupName>字词问题</groupName>
      <ability>L2_Fanti</ability>
      <abilityName>繁转简</abilityName>
      <candidateList>
        <item>涌</item>
      </candidateList>
      <explain/>
      <paraID>7015FE90</paraID>
      <start>1</start>
      <end>2</end>
      <status>modified</status>
      <modifiedWord>涌</modifiedWord>
      <trackRevisions>false</trackRevisions>
    </reviewItem>
    <reviewItem>
      <errorID>393011f9-87b0-4e85-b34a-10974e782621</errorID>
      <errorWord>(</errorWord>
      <group>L1_Format</group>
      <groupName>格式问题</groupName>
      <ability>L2_HalfPunc</ability>
      <abilityName>全半角检查</abilityName>
      <candidateList>
        <item>（</item>
      </candidateList>
      <explain>文本全半角错误。</explain>
      <paraID> 62D4E7E</paraID>
      <start>14</start>
      <end>15</end>
      <status>unmodified</status>
      <modifiedWord/>
      <trackRevisions>false</trackRevisions>
    </reviewItem>
    <reviewItem>
      <errorID>135f8ad4-8d73-4fed-8ace-cc768a750369</errorID>
      <errorWord>)</errorWord>
      <group>L1_Format</group>
      <groupName>格式问题</groupName>
      <ability>L2_HalfPunc</ability>
      <abilityName>全半角检查</abilityName>
      <candidateList>
        <item>）</item>
      </candidateList>
      <explain>文本全半角错误。</explain>
      <paraID> 62D4E7E</paraID>
      <start>19</start>
      <end>20</end>
      <status>unmodified</status>
      <modifiedWord/>
      <trackRevisions>false</trackRevisions>
    </reviewItem>
    <reviewItem>
      <errorID>3e76559a-edaf-494b-9e78-3b47ca8c6b29</errorID>
      <errorWord>(</errorWord>
      <group>L1_Format</group>
      <groupName>格式问题</groupName>
      <ability>L2_HalfPunc</ability>
      <abilityName>全半角检查</abilityName>
      <candidateList>
        <item>（</item>
      </candidateList>
      <explain>文本全半角错误。</explain>
      <paraID>40928EA5</paraID>
      <start>12</start>
      <end>13</end>
      <status>unmodified</status>
      <modifiedWord/>
      <trackRevisions>false</trackRevisions>
    </reviewItem>
    <reviewItem>
      <errorID>009997be-f50b-437f-b379-3f2b8ed1ecb9</errorID>
      <errorWord>)</errorWord>
      <group>L1_Format</group>
      <groupName>格式问题</groupName>
      <ability>L2_HalfPunc</ability>
      <abilityName>全半角检查</abilityName>
      <candidateList>
        <item>）</item>
      </candidateList>
      <explain>文本全半角错误。</explain>
      <paraID>40928EA5</paraID>
      <start>17</start>
      <end>18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D93F1D-8717-4813-BDE3-5389298EE5EF}">
  <ds:schemaRefs/>
</ds:datastoreItem>
</file>

<file path=customXml/itemProps3.xml><?xml version="1.0" encoding="utf-8"?>
<ds:datastoreItem xmlns:ds="http://schemas.openxmlformats.org/officeDocument/2006/customXml" ds:itemID="{609abc18-236b-4e65-9587-ceebe908572c}">
  <ds:schemaRefs/>
</ds:datastoreItem>
</file>

<file path=docProps/app.xml><?xml version="1.0" encoding="utf-8"?>
<Properties xmlns="http://schemas.openxmlformats.org/officeDocument/2006/extended-properties" xmlns:vt="http://schemas.openxmlformats.org/officeDocument/2006/docPropsVTypes">
  <Template>Normal</Template>
  <Pages>2</Pages>
  <Words>1045</Words>
  <Characters>1112</Characters>
  <Lines>1</Lines>
  <Paragraphs>1</Paragraphs>
  <TotalTime>4</TotalTime>
  <ScaleCrop>false</ScaleCrop>
  <LinksUpToDate>false</LinksUpToDate>
  <CharactersWithSpaces>1240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2025-03-07T07:51:00Z</dcterms:created>
  <dc:creator>Windows 用户</dc:creator>
  <cp:lastModifiedBy>孙红铮</cp:lastModifiedBy>
  <cp:lastPrinted>2021-09-16T08:26:00Z</cp:lastPrinted>
  <dcterms:modified xsi:type="dcterms:W3CDTF">2026-09-11T09:41:16Z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A668319AA7B848FFA4AC87FB9776C029_13</vt:lpwstr>
  </property>
  <property fmtid="{D5CDD505-2E9C-101B-9397-08002B2CF9AE}" pid="4" name="KSOTemplateDocerSaveRecord">
    <vt:lpwstr>eyJoZGlkIjoiYmZhNjQyMTQ5Y2MwMmFiNmFlZTVmMmQ0ZWMwZGUwMzgiLCJ1c2VySWQiOiIxNDcwNjgwODkyIn0=</vt:lpwstr>
  </property>
</Properties>
</file>