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69800">
      <w:pPr>
        <w:ind w:left="1760" w:hanging="1760" w:hangingChars="800"/>
        <w:rPr>
          <w:rFonts w:hint="eastAsia" w:ascii="宋体" w:hAnsi="宋体" w:eastAsia="宋体"/>
          <w:lang w:eastAsia="zh"/>
        </w:rPr>
        <w:sectPr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  <w:r>
        <w:rPr>
          <w:rFonts w:ascii="宋体" w:hAnsi="宋体" w:eastAsia="宋体"/>
        </w:rPr>
        <w:t>证券代码：</w:t>
      </w:r>
      <w:r>
        <w:rPr>
          <w:rFonts w:hint="eastAsia" w:ascii="宋体" w:hAnsi="宋体" w:eastAsia="宋体"/>
        </w:rPr>
        <w:t xml:space="preserve">600742 </w:t>
      </w:r>
      <w:r>
        <w:rPr>
          <w:rFonts w:hint="eastAsia" w:ascii="宋体" w:hAnsi="宋体" w:eastAsia="宋体"/>
        </w:rPr>
        <w:br w:type="column"/>
      </w:r>
      <w:r>
        <w:rPr>
          <w:rFonts w:hint="eastAsia" w:ascii="宋体" w:hAnsi="宋体" w:eastAsia="宋体"/>
        </w:rPr>
        <w:t>证券</w:t>
      </w:r>
      <w:r>
        <w:rPr>
          <w:rFonts w:ascii="宋体" w:hAnsi="宋体" w:eastAsia="宋体"/>
        </w:rPr>
        <w:t>简称：</w:t>
      </w:r>
      <w:r>
        <w:rPr>
          <w:rFonts w:hint="eastAsia" w:ascii="宋体" w:hAnsi="宋体" w:eastAsia="宋体"/>
        </w:rPr>
        <w:t>富维</w:t>
      </w:r>
      <w:r>
        <w:rPr>
          <w:rFonts w:hint="eastAsia" w:ascii="宋体" w:hAnsi="宋体" w:eastAsia="宋体"/>
          <w:lang w:eastAsia="zh"/>
        </w:rPr>
        <w:t>股份</w:t>
      </w:r>
    </w:p>
    <w:p w14:paraId="2001F8AA">
      <w:pPr>
        <w:spacing w:line="411" w:lineRule="exact"/>
        <w:jc w:val="center"/>
        <w:rPr>
          <w:rFonts w:hint="eastAsia"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FF0000"/>
          <w:sz w:val="32"/>
          <w:szCs w:val="32"/>
        </w:rPr>
        <w:t>长春富维集团汽车零部件</w:t>
      </w: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股份有限公司</w:t>
      </w:r>
    </w:p>
    <w:p w14:paraId="06AD623C">
      <w:pPr>
        <w:spacing w:line="411" w:lineRule="exact"/>
        <w:jc w:val="center"/>
        <w:rPr>
          <w:rFonts w:hint="eastAsia" w:ascii="宋体" w:hAnsi="宋体" w:eastAsia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FF0000"/>
          <w:sz w:val="32"/>
          <w:szCs w:val="32"/>
        </w:rPr>
        <w:t>投资者关系活动记录表</w:t>
      </w:r>
    </w:p>
    <w:p w14:paraId="449E4E6B">
      <w:pPr>
        <w:jc w:val="right"/>
        <w:rPr>
          <w:rFonts w:hint="eastAsia" w:ascii="宋体" w:hAnsi="宋体" w:eastAsia="宋体"/>
          <w:lang w:eastAsia="zh-CN"/>
        </w:rPr>
      </w:pPr>
      <w:r>
        <w:rPr>
          <w:rFonts w:ascii="宋体" w:hAnsi="宋体" w:eastAsia="宋体"/>
        </w:rPr>
        <w:t>编号：202</w:t>
      </w:r>
      <w:r>
        <w:rPr>
          <w:rFonts w:hint="eastAsia" w:ascii="宋体" w:hAnsi="宋体" w:eastAsia="宋体"/>
          <w:lang w:eastAsia="zh"/>
        </w:rPr>
        <w:t>6</w:t>
      </w:r>
      <w:r>
        <w:rPr>
          <w:rFonts w:ascii="宋体" w:hAnsi="宋体" w:eastAsia="宋体"/>
        </w:rPr>
        <w:t>-00</w:t>
      </w:r>
      <w:r>
        <w:rPr>
          <w:rFonts w:hint="eastAsia" w:ascii="宋体" w:hAnsi="宋体" w:eastAsia="宋体"/>
          <w:lang w:val="en-US" w:eastAsia="zh-CN"/>
        </w:rPr>
        <w:t>6</w:t>
      </w:r>
    </w:p>
    <w:tbl>
      <w:tblPr>
        <w:tblStyle w:val="1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520"/>
      </w:tblGrid>
      <w:tr w14:paraId="1136C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083348A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投资者关系活动类别</w:t>
            </w:r>
          </w:p>
        </w:tc>
        <w:tc>
          <w:tcPr>
            <w:tcW w:w="6520" w:type="dxa"/>
          </w:tcPr>
          <w:p w14:paraId="3277B43E">
            <w:pPr>
              <w:spacing w:after="0" w:line="360" w:lineRule="auto"/>
              <w:ind w:right="1100" w:firstLine="240" w:firstLineChars="1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Segoe UI Symbol" w:hAnsi="Segoe UI Symbol" w:eastAsia="宋体" w:cs="Segoe UI Symbol"/>
                <w:sz w:val="24"/>
                <w:lang w:eastAsia="zh-CN"/>
              </w:rPr>
              <w:t>☑</w:t>
            </w:r>
            <w:r>
              <w:rPr>
                <w:rFonts w:ascii="宋体" w:hAnsi="宋体" w:eastAsia="宋体"/>
                <w:sz w:val="24"/>
              </w:rPr>
              <w:t xml:space="preserve">特定对象调研          □分析师会议  </w:t>
            </w:r>
          </w:p>
          <w:p w14:paraId="354A8C7C">
            <w:pPr>
              <w:spacing w:after="0" w:line="360" w:lineRule="auto"/>
              <w:ind w:right="1100" w:firstLine="240" w:firstLineChars="1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□媒体采访              □业绩说明会  </w:t>
            </w:r>
          </w:p>
          <w:p w14:paraId="07FC4259">
            <w:pPr>
              <w:spacing w:after="0" w:line="360" w:lineRule="auto"/>
              <w:ind w:right="1100" w:firstLine="240" w:firstLineChars="1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□新闻发布会           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 xml:space="preserve">路演活动  </w:t>
            </w:r>
          </w:p>
          <w:p w14:paraId="738A06E1">
            <w:pPr>
              <w:spacing w:after="0" w:line="360" w:lineRule="auto"/>
              <w:ind w:right="880" w:firstLine="240" w:firstLineChars="1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Segoe UI Symbol" w:hAnsi="Segoe UI Symbol" w:eastAsia="宋体" w:cs="Segoe UI Symbol"/>
                <w:sz w:val="24"/>
                <w:lang w:eastAsia="zh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>现场参观              □其他</w:t>
            </w:r>
          </w:p>
        </w:tc>
      </w:tr>
      <w:tr w14:paraId="4304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7DB952F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参与单位名称及人员姓名</w:t>
            </w:r>
          </w:p>
        </w:tc>
        <w:tc>
          <w:tcPr>
            <w:tcW w:w="6520" w:type="dxa"/>
            <w:vAlign w:val="center"/>
          </w:tcPr>
          <w:p w14:paraId="7FA6F4A9">
            <w:pPr>
              <w:spacing w:after="0"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国金证券 徐慧雄、何冠男</w:t>
            </w:r>
          </w:p>
          <w:p w14:paraId="7364DBAC">
            <w:pPr>
              <w:spacing w:after="0"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国联基金 陈斯竹</w:t>
            </w:r>
          </w:p>
          <w:p w14:paraId="5C33F02A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复霈投资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王卫</w:t>
            </w:r>
          </w:p>
          <w:p w14:paraId="54290C24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裘明投资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王志远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张涛</w:t>
            </w:r>
          </w:p>
          <w:p w14:paraId="013BA5FF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上海信托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陆方</w:t>
            </w:r>
          </w:p>
          <w:p w14:paraId="1541D0F0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交大高金私募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刘凯</w:t>
            </w:r>
          </w:p>
          <w:p w14:paraId="018B85A2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沐阳天咨询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温田森</w:t>
            </w:r>
          </w:p>
          <w:p w14:paraId="660B6DEE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尚颀资本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宋明</w:t>
            </w:r>
          </w:p>
          <w:p w14:paraId="67D5969A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沁闻投资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周志康</w:t>
            </w:r>
          </w:p>
          <w:p w14:paraId="7C146A30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淳厚基金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王朝宁</w:t>
            </w:r>
          </w:p>
          <w:p w14:paraId="52B58C15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海富通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基金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陆海燕</w:t>
            </w:r>
          </w:p>
          <w:p w14:paraId="21480DA8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润义投资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陆懿晨</w:t>
            </w:r>
          </w:p>
          <w:p w14:paraId="7D0D14E8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通乾投资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朱灵</w:t>
            </w:r>
          </w:p>
          <w:p w14:paraId="7D137C91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山西证券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>杨杰</w:t>
            </w:r>
          </w:p>
          <w:p w14:paraId="644F5C8D">
            <w:pPr>
              <w:spacing w:after="0" w:line="360" w:lineRule="auto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华泰保兴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蔡煜</w:t>
            </w:r>
          </w:p>
          <w:p w14:paraId="3531AFE0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友邦保险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高云波</w:t>
            </w:r>
          </w:p>
        </w:tc>
      </w:tr>
      <w:tr w14:paraId="7A25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2F1A4BA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时间</w:t>
            </w:r>
          </w:p>
        </w:tc>
        <w:tc>
          <w:tcPr>
            <w:tcW w:w="6520" w:type="dxa"/>
            <w:vAlign w:val="center"/>
          </w:tcPr>
          <w:p w14:paraId="1ED55B87">
            <w:pPr>
              <w:spacing w:after="0" w:line="360" w:lineRule="auto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ascii="宋体" w:hAnsi="宋体" w:eastAsia="宋体"/>
                <w:sz w:val="24"/>
              </w:rPr>
              <w:t>2026年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</w:rPr>
              <w:t>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</w:rPr>
              <w:t>日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至2026年9月11日</w:t>
            </w:r>
          </w:p>
        </w:tc>
      </w:tr>
      <w:tr w14:paraId="2A87F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79BC965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地点</w:t>
            </w:r>
          </w:p>
        </w:tc>
        <w:tc>
          <w:tcPr>
            <w:tcW w:w="6520" w:type="dxa"/>
            <w:vAlign w:val="center"/>
          </w:tcPr>
          <w:p w14:paraId="52E15BB4">
            <w:pPr>
              <w:spacing w:after="0" w:line="360" w:lineRule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上海</w:t>
            </w:r>
          </w:p>
        </w:tc>
      </w:tr>
      <w:tr w14:paraId="25BEE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3CB0A41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上市公司接待人员姓名</w:t>
            </w:r>
          </w:p>
        </w:tc>
        <w:tc>
          <w:tcPr>
            <w:tcW w:w="6520" w:type="dxa"/>
            <w:vAlign w:val="center"/>
          </w:tcPr>
          <w:p w14:paraId="7AF6ADA7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1、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证券事务代表 强巍</w:t>
            </w:r>
          </w:p>
          <w:p w14:paraId="5F9301F5">
            <w:pPr>
              <w:spacing w:after="0" w:line="360" w:lineRule="auto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2、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董事会办公室证券管理室主任 刘旺</w:t>
            </w:r>
          </w:p>
        </w:tc>
      </w:tr>
      <w:tr w14:paraId="5275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5DB429E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投资者关系活动主要内容介绍</w:t>
            </w:r>
          </w:p>
        </w:tc>
        <w:tc>
          <w:tcPr>
            <w:tcW w:w="6520" w:type="dxa"/>
            <w:vAlign w:val="center"/>
          </w:tcPr>
          <w:p w14:paraId="78365D80">
            <w:pPr>
              <w:spacing w:after="0" w:line="360" w:lineRule="auto"/>
              <w:ind w:firstLine="1682" w:firstLineChars="700"/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投资者关系活动主要内容</w:t>
            </w:r>
          </w:p>
          <w:p w14:paraId="58ADFC1F">
            <w:pPr>
              <w:spacing w:after="0" w:line="240" w:lineRule="auto"/>
              <w:jc w:val="both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问题一：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请介绍富维外部市场开拓的进展情况</w:t>
            </w:r>
          </w:p>
          <w:p w14:paraId="25AE1E96">
            <w:pPr>
              <w:spacing w:after="0" w:line="360" w:lineRule="auto"/>
              <w:ind w:firstLine="480" w:firstLineChars="200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"/>
              </w:rPr>
              <w:t>答复：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公司加快外部市场开拓步伐，精准锚定重点目标客户与核心项目，持续强化业务攻坚，集团外市场开拓取得积极进展。2026年上半年，公司及下属参控股公司累计斩获外部市场项目26项，新项目全生命周期销售额41.64亿元；其中，新能源新订单生命周期销售额39.35亿元，占比达94.5%，覆盖江淮、小鹏、长城、吉利、北汽、蔚来、日产等多家整车企业。从收入表现来看，2026年上半年公司一汽集团外收入同比增长超过25%，收入占比提升至16%。</w:t>
            </w:r>
          </w:p>
          <w:p w14:paraId="23D8147F">
            <w:pPr>
              <w:spacing w:after="0" w:line="360" w:lineRule="auto"/>
              <w:jc w:val="both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问题二：公司新兴领域布局都有哪些方面？</w:t>
            </w:r>
          </w:p>
          <w:p w14:paraId="2CB6F149">
            <w:pPr>
              <w:spacing w:after="0" w:line="360" w:lineRule="auto"/>
              <w:ind w:firstLine="480" w:firstLineChars="200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答复：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公司“十五五”战略规划已确定6大核心业务“智能座舱业务、智能外饰业务、智能视觉业务、金属结构件业务、衍生业务、成长与新兴业务”。其中成长与新兴业务包括陶瓷氧传感器、镁合金轻量化、智能表面、座舱视觉域控、新型智能出行装备及物理场景智能交互等产品和方向。</w:t>
            </w:r>
          </w:p>
          <w:p w14:paraId="432F37D4">
            <w:pPr>
              <w:spacing w:after="0" w:line="360" w:lineRule="auto"/>
              <w:jc w:val="both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问题三：关注到公司氧传感器获得了新项目，目前是产业化了么？</w:t>
            </w:r>
          </w:p>
          <w:p w14:paraId="057D90DE">
            <w:pPr>
              <w:spacing w:after="0" w:line="360" w:lineRule="auto"/>
              <w:ind w:firstLine="480" w:firstLineChars="200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答复：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公司氧传感器产品已实现小批量生产，国产化进程取得积极突破。从客户结构看，公司氧传感器项目正由汽车备件市场逐步向前装市场拓展，目前已取得主机厂项目定点，但尚未正式进入量产阶段，公司将持续加快前装市场项目转化落地。现阶段，氧传感器在汽车备件市场形成的收入占公司总收入比例较低，对当期业绩影响有限。</w:t>
            </w:r>
          </w:p>
          <w:p w14:paraId="3D2B47C0">
            <w:pPr>
              <w:spacing w:after="0" w:line="360" w:lineRule="auto"/>
              <w:jc w:val="both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"/>
              </w:rPr>
              <w:t>问题四：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公司现金储备还是很多的，后续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有没有投资并购计划？</w:t>
            </w:r>
          </w:p>
          <w:p w14:paraId="423CFE51">
            <w:pPr>
              <w:spacing w:after="0" w:line="360" w:lineRule="auto"/>
              <w:ind w:firstLine="480" w:firstLineChars="200"/>
              <w:jc w:val="both"/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"/>
              </w:rPr>
              <w:t>答复：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公司重点关注制造业相关投资并购机会，尤其是能够为公司带来新产品、新技术、新市场，以及有助于提升业绩增长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带来新客户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的优质标的，涵盖但不限于汽车零部件相关、新型智能出行装备及物理场景智能交互等下游产业链方向。</w:t>
            </w:r>
          </w:p>
          <w:p w14:paraId="63B9300E">
            <w:pPr>
              <w:spacing w:after="0" w:line="360" w:lineRule="auto"/>
              <w:ind w:firstLine="480" w:firstLineChars="200"/>
              <w:jc w:val="both"/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2026年上半年，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公司增资旗翼科技1.5亿元,直接持股18.92%，布局智能出行装备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领域。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旗翼科技自主研发的红旗天辇1号原型机已完成首次试验。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同时，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公司与富奥股份、华翔启源等成立合资公司奥腾博睿，公司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  <w:woUserID w:val="1"/>
              </w:rPr>
              <w:t>认缴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出资5,800万元，持股比例29%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-CN"/>
              </w:rPr>
              <w:t>。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奥腾博睿将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eastAsia="zh"/>
              </w:rPr>
              <w:t>围绕新型智能出行装备及物理场景智能交互产品相关零部件的研发、制造、设计、销售及售后服务开展生产经营活动。</w:t>
            </w:r>
          </w:p>
          <w:p w14:paraId="5CA1CC13">
            <w:pPr>
              <w:spacing w:after="0" w:line="360" w:lineRule="auto"/>
              <w:ind w:firstLine="480" w:firstLineChars="200"/>
              <w:jc w:val="both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公司已于2026年5月成立投资管理部，推动落实“十五五”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"/>
                <w:woUserID w:val="1"/>
              </w:rPr>
              <w:t>战略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规划</w:t>
            </w:r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"/>
                <w:woUserID w:val="1"/>
              </w:rPr>
              <w:t>，作为公司股权投资、基金投资业务的主管部门，负责新增的各类股权投资业务和基金投资业务，打造专业化股权投资管理能力。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b w:val="0"/>
                <w:bCs w:val="0"/>
                <w:sz w:val="24"/>
                <w:lang w:val="en-US" w:eastAsia="zh-CN"/>
              </w:rPr>
              <w:t>投资并购业务存在一定不确定性，具体情况请以公司公告为准。</w:t>
            </w:r>
          </w:p>
        </w:tc>
      </w:tr>
    </w:tbl>
    <w:p w14:paraId="19AF78C3">
      <w:pPr>
        <w:spacing w:after="0" w:line="240" w:lineRule="auto"/>
        <w:jc w:val="right"/>
        <w:rPr>
          <w:rFonts w:hint="eastAsia" w:ascii="宋体" w:hAnsi="宋体" w:eastAsia="宋体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4000000" w:csb0="00000001" w:csb1="40000000"/>
  </w:font>
  <w:font w:name="Noto Sans">
    <w:panose1 w:val="020B0502040504020204"/>
    <w:charset w:val="00"/>
    <w:family w:val="auto"/>
    <w:pitch w:val="default"/>
    <w:sig w:usb0="E00002FF" w:usb1="4000001F" w:usb2="08000029" w:usb3="001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FF"/>
    <w:rsid w:val="00002D4B"/>
    <w:rsid w:val="00055175"/>
    <w:rsid w:val="00065B50"/>
    <w:rsid w:val="00070818"/>
    <w:rsid w:val="0008466E"/>
    <w:rsid w:val="000B3EB7"/>
    <w:rsid w:val="000B5B73"/>
    <w:rsid w:val="000D3678"/>
    <w:rsid w:val="000D3D8F"/>
    <w:rsid w:val="000E5CAF"/>
    <w:rsid w:val="000E71D2"/>
    <w:rsid w:val="00102839"/>
    <w:rsid w:val="00116716"/>
    <w:rsid w:val="00132D3B"/>
    <w:rsid w:val="001547ED"/>
    <w:rsid w:val="0017311C"/>
    <w:rsid w:val="001766EF"/>
    <w:rsid w:val="001934E9"/>
    <w:rsid w:val="001A60B7"/>
    <w:rsid w:val="001B1BF3"/>
    <w:rsid w:val="001B5547"/>
    <w:rsid w:val="001E1EE5"/>
    <w:rsid w:val="0020006A"/>
    <w:rsid w:val="00200BC2"/>
    <w:rsid w:val="002027D4"/>
    <w:rsid w:val="002146ED"/>
    <w:rsid w:val="00270EFF"/>
    <w:rsid w:val="00272075"/>
    <w:rsid w:val="00274EB7"/>
    <w:rsid w:val="00281156"/>
    <w:rsid w:val="002901CE"/>
    <w:rsid w:val="002A764E"/>
    <w:rsid w:val="002B09DF"/>
    <w:rsid w:val="002C6493"/>
    <w:rsid w:val="002E04CB"/>
    <w:rsid w:val="002E5386"/>
    <w:rsid w:val="003032D1"/>
    <w:rsid w:val="00347EE1"/>
    <w:rsid w:val="00352C42"/>
    <w:rsid w:val="00355602"/>
    <w:rsid w:val="003577FF"/>
    <w:rsid w:val="00357F86"/>
    <w:rsid w:val="00367500"/>
    <w:rsid w:val="00380CA1"/>
    <w:rsid w:val="003840AE"/>
    <w:rsid w:val="003A6A57"/>
    <w:rsid w:val="003D2BAD"/>
    <w:rsid w:val="003E7690"/>
    <w:rsid w:val="003F485D"/>
    <w:rsid w:val="00462648"/>
    <w:rsid w:val="00466521"/>
    <w:rsid w:val="00481B61"/>
    <w:rsid w:val="004A1794"/>
    <w:rsid w:val="004A4D6B"/>
    <w:rsid w:val="004A52A5"/>
    <w:rsid w:val="004B2259"/>
    <w:rsid w:val="005333A5"/>
    <w:rsid w:val="00561CD9"/>
    <w:rsid w:val="00563945"/>
    <w:rsid w:val="005C5E68"/>
    <w:rsid w:val="005D6D06"/>
    <w:rsid w:val="005E3EC9"/>
    <w:rsid w:val="00612DB3"/>
    <w:rsid w:val="00622185"/>
    <w:rsid w:val="0063447C"/>
    <w:rsid w:val="0064596B"/>
    <w:rsid w:val="00651DA2"/>
    <w:rsid w:val="0069044F"/>
    <w:rsid w:val="006E1ADA"/>
    <w:rsid w:val="006E6C50"/>
    <w:rsid w:val="006F6FC4"/>
    <w:rsid w:val="007057EA"/>
    <w:rsid w:val="00706870"/>
    <w:rsid w:val="00740604"/>
    <w:rsid w:val="00744D51"/>
    <w:rsid w:val="00747AC2"/>
    <w:rsid w:val="00754733"/>
    <w:rsid w:val="007A03A5"/>
    <w:rsid w:val="007C57FE"/>
    <w:rsid w:val="007D11F7"/>
    <w:rsid w:val="007E4212"/>
    <w:rsid w:val="007F64BB"/>
    <w:rsid w:val="008148A2"/>
    <w:rsid w:val="00820ED8"/>
    <w:rsid w:val="00825E41"/>
    <w:rsid w:val="00832476"/>
    <w:rsid w:val="008658D6"/>
    <w:rsid w:val="008776F6"/>
    <w:rsid w:val="008854EB"/>
    <w:rsid w:val="008A16D4"/>
    <w:rsid w:val="008B338C"/>
    <w:rsid w:val="008F2FB7"/>
    <w:rsid w:val="0090546A"/>
    <w:rsid w:val="00924F4E"/>
    <w:rsid w:val="00925D1E"/>
    <w:rsid w:val="0094408C"/>
    <w:rsid w:val="00963F4B"/>
    <w:rsid w:val="00995C78"/>
    <w:rsid w:val="009C51F4"/>
    <w:rsid w:val="009C5FB4"/>
    <w:rsid w:val="009E3241"/>
    <w:rsid w:val="00A01ADE"/>
    <w:rsid w:val="00A031FC"/>
    <w:rsid w:val="00A06646"/>
    <w:rsid w:val="00A428E7"/>
    <w:rsid w:val="00A47B06"/>
    <w:rsid w:val="00A504DF"/>
    <w:rsid w:val="00A56527"/>
    <w:rsid w:val="00A7252B"/>
    <w:rsid w:val="00A86DC0"/>
    <w:rsid w:val="00AD5078"/>
    <w:rsid w:val="00AE73DA"/>
    <w:rsid w:val="00AF267F"/>
    <w:rsid w:val="00B11C44"/>
    <w:rsid w:val="00B135FC"/>
    <w:rsid w:val="00B17295"/>
    <w:rsid w:val="00B26FBE"/>
    <w:rsid w:val="00B56E3F"/>
    <w:rsid w:val="00B5730B"/>
    <w:rsid w:val="00BB1A84"/>
    <w:rsid w:val="00BC49E8"/>
    <w:rsid w:val="00BD73A6"/>
    <w:rsid w:val="00C54304"/>
    <w:rsid w:val="00C5703A"/>
    <w:rsid w:val="00C95162"/>
    <w:rsid w:val="00C96518"/>
    <w:rsid w:val="00CD497F"/>
    <w:rsid w:val="00D02614"/>
    <w:rsid w:val="00D170CE"/>
    <w:rsid w:val="00D17EB7"/>
    <w:rsid w:val="00D211E1"/>
    <w:rsid w:val="00D30C09"/>
    <w:rsid w:val="00D46AA5"/>
    <w:rsid w:val="00D84FEF"/>
    <w:rsid w:val="00DB5933"/>
    <w:rsid w:val="00DC712D"/>
    <w:rsid w:val="00DE655F"/>
    <w:rsid w:val="00E02E3E"/>
    <w:rsid w:val="00E13B95"/>
    <w:rsid w:val="00E1561D"/>
    <w:rsid w:val="00E15620"/>
    <w:rsid w:val="00E15762"/>
    <w:rsid w:val="00E417D0"/>
    <w:rsid w:val="00E502EF"/>
    <w:rsid w:val="00E50A85"/>
    <w:rsid w:val="00E54A34"/>
    <w:rsid w:val="00EB588A"/>
    <w:rsid w:val="00EB588E"/>
    <w:rsid w:val="00EC0AE8"/>
    <w:rsid w:val="00EC5392"/>
    <w:rsid w:val="00ED03F7"/>
    <w:rsid w:val="00EE21FB"/>
    <w:rsid w:val="00EE5047"/>
    <w:rsid w:val="00EF464E"/>
    <w:rsid w:val="00F05CC2"/>
    <w:rsid w:val="00F2698A"/>
    <w:rsid w:val="00F50748"/>
    <w:rsid w:val="00F55690"/>
    <w:rsid w:val="00F65D94"/>
    <w:rsid w:val="00FA246E"/>
    <w:rsid w:val="00FA2E45"/>
    <w:rsid w:val="00FA4564"/>
    <w:rsid w:val="00FA4AB0"/>
    <w:rsid w:val="00FA4F91"/>
    <w:rsid w:val="00FB46C7"/>
    <w:rsid w:val="00FB5A50"/>
    <w:rsid w:val="00FC7455"/>
    <w:rsid w:val="00FE2531"/>
    <w:rsid w:val="00FF0ACE"/>
    <w:rsid w:val="08C1658D"/>
    <w:rsid w:val="0ABF76C1"/>
    <w:rsid w:val="175D0593"/>
    <w:rsid w:val="19B117A7"/>
    <w:rsid w:val="19BFFD02"/>
    <w:rsid w:val="1FF94673"/>
    <w:rsid w:val="1FFB2F37"/>
    <w:rsid w:val="22E230A2"/>
    <w:rsid w:val="2B7FDD66"/>
    <w:rsid w:val="2B9F7D27"/>
    <w:rsid w:val="2DEF9D31"/>
    <w:rsid w:val="3DBBBF5A"/>
    <w:rsid w:val="3EF6CC20"/>
    <w:rsid w:val="3FB708B8"/>
    <w:rsid w:val="44C816BA"/>
    <w:rsid w:val="4C390D85"/>
    <w:rsid w:val="4D8602C2"/>
    <w:rsid w:val="51F2ECBF"/>
    <w:rsid w:val="57386794"/>
    <w:rsid w:val="57A6230D"/>
    <w:rsid w:val="590E446F"/>
    <w:rsid w:val="5D2FAC07"/>
    <w:rsid w:val="5EA42C9D"/>
    <w:rsid w:val="5F3876D3"/>
    <w:rsid w:val="5F5BAF69"/>
    <w:rsid w:val="5FB23854"/>
    <w:rsid w:val="63DBBF29"/>
    <w:rsid w:val="65AB620C"/>
    <w:rsid w:val="66DF9FC9"/>
    <w:rsid w:val="699D50E9"/>
    <w:rsid w:val="6B6EB378"/>
    <w:rsid w:val="6BFD8E92"/>
    <w:rsid w:val="6DE79D71"/>
    <w:rsid w:val="73771D47"/>
    <w:rsid w:val="753D73FB"/>
    <w:rsid w:val="75DE7B87"/>
    <w:rsid w:val="76F52562"/>
    <w:rsid w:val="77AD1E95"/>
    <w:rsid w:val="77F17A55"/>
    <w:rsid w:val="77FB3424"/>
    <w:rsid w:val="79EF2A44"/>
    <w:rsid w:val="7DBF66F7"/>
    <w:rsid w:val="7DD93E4A"/>
    <w:rsid w:val="7DFD4B9C"/>
    <w:rsid w:val="7E9C032D"/>
    <w:rsid w:val="7F1F1223"/>
    <w:rsid w:val="7F3A3229"/>
    <w:rsid w:val="7F7EC958"/>
    <w:rsid w:val="7F9FC333"/>
    <w:rsid w:val="7FB9999F"/>
    <w:rsid w:val="7FBF09E9"/>
    <w:rsid w:val="7FF536AA"/>
    <w:rsid w:val="7FFF9128"/>
    <w:rsid w:val="80EBB326"/>
    <w:rsid w:val="9766A367"/>
    <w:rsid w:val="9D6DCDF5"/>
    <w:rsid w:val="9FDF6360"/>
    <w:rsid w:val="AEE3A561"/>
    <w:rsid w:val="B787B232"/>
    <w:rsid w:val="B7FF185B"/>
    <w:rsid w:val="B85F2B98"/>
    <w:rsid w:val="BBFC3CDB"/>
    <w:rsid w:val="BE9CFB3D"/>
    <w:rsid w:val="BF3F846B"/>
    <w:rsid w:val="BFDF7875"/>
    <w:rsid w:val="DCDFF852"/>
    <w:rsid w:val="DDED131B"/>
    <w:rsid w:val="DFFE41E6"/>
    <w:rsid w:val="E79D848D"/>
    <w:rsid w:val="E9FF56D6"/>
    <w:rsid w:val="F2DF14D0"/>
    <w:rsid w:val="F3F10CCB"/>
    <w:rsid w:val="FAEBF7C4"/>
    <w:rsid w:val="FBFFA760"/>
    <w:rsid w:val="FD778D47"/>
    <w:rsid w:val="FEFFE574"/>
    <w:rsid w:val="FF7F1FF0"/>
    <w:rsid w:val="FFAF25AA"/>
    <w:rsid w:val="FFDAF0B2"/>
    <w:rsid w:val="FFFA6D1C"/>
    <w:rsid w:val="FFFD82D6"/>
    <w:rsid w:val="FFFD9852"/>
    <w:rsid w:val="FFFFB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CF9A797B-60C9-4B3B-8C0C-AB2845606C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1078</Words>
  <Characters>1185</Characters>
  <Lines>9</Lines>
  <Paragraphs>2</Paragraphs>
  <TotalTime>232</TotalTime>
  <ScaleCrop>false</ScaleCrop>
  <LinksUpToDate>false</LinksUpToDate>
  <CharactersWithSpaces>1246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2025-01-14T18:52:00Z</dcterms:created>
  <dc:creator>潘滢玥</dc:creator>
  <cp:lastModifiedBy>刘旺</cp:lastModifiedBy>
  <dcterms:modified xsi:type="dcterms:W3CDTF">2026-09-14T16:07:06Z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26C4C1B2C64A61142AABA76AC5963B8F_43</vt:lpwstr>
  </property>
  <property fmtid="{D5CDD505-2E9C-101B-9397-08002B2CF9AE}" pid="4" name="KSOTemplateDocerSaveRecord">
    <vt:lpwstr>eyJoZGlkIjoiYTczNGZkOTUwZWQ2YzAxMjAxYWRmN2M3YTgzMjk3M2EiLCJ1c2VySWQiOiIxNzY2NzczMTQ1In0=</vt:lpwstr>
  </property>
</Properties>
</file>