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39E9" w14:textId="70F3F5C8" w:rsidR="00C814D7" w:rsidRDefault="00EF2475" w:rsidP="00EF2475">
      <w:pPr>
        <w:jc w:val="center"/>
      </w:pPr>
      <w:r>
        <w:t>证券代码：</w:t>
      </w:r>
      <w:r>
        <w:t>603703</w:t>
      </w:r>
      <w:r>
        <w:rPr>
          <w:rFonts w:hint="eastAsia"/>
        </w:rPr>
        <w:t xml:space="preserve">               </w:t>
      </w:r>
      <w:r>
        <w:rPr>
          <w:rFonts w:hint="eastAsia"/>
        </w:rPr>
        <w:t>证券简称：盛洋科技</w:t>
      </w:r>
      <w:r w:rsidRPr="00EF2475">
        <w:t xml:space="preserve">               </w:t>
      </w:r>
      <w:r>
        <w:rPr>
          <w:rFonts w:hint="eastAsia"/>
        </w:rPr>
        <w:t>编号：</w:t>
      </w:r>
      <w:r w:rsidR="00931230">
        <w:rPr>
          <w:rFonts w:hint="eastAsia"/>
        </w:rPr>
        <w:t>20</w:t>
      </w:r>
      <w:r w:rsidR="003E2328">
        <w:rPr>
          <w:rFonts w:hint="eastAsia"/>
        </w:rPr>
        <w:t>2</w:t>
      </w:r>
      <w:r w:rsidR="00522CEA">
        <w:rPr>
          <w:rFonts w:hint="eastAsia"/>
        </w:rPr>
        <w:t>6</w:t>
      </w:r>
      <w:r w:rsidR="00931230">
        <w:rPr>
          <w:rFonts w:hint="eastAsia"/>
        </w:rPr>
        <w:t>-00</w:t>
      </w:r>
      <w:r w:rsidR="00522CEA">
        <w:rPr>
          <w:rFonts w:hint="eastAsia"/>
        </w:rPr>
        <w:t>4</w:t>
      </w:r>
    </w:p>
    <w:p w14:paraId="5EACDC3A" w14:textId="77777777" w:rsidR="00D4431E" w:rsidRDefault="00EF2475" w:rsidP="00D4431E">
      <w:pPr>
        <w:spacing w:beforeLines="50" w:before="156"/>
        <w:jc w:val="center"/>
        <w:rPr>
          <w:sz w:val="32"/>
          <w:szCs w:val="32"/>
        </w:rPr>
      </w:pPr>
      <w:r w:rsidRPr="00EF2475">
        <w:rPr>
          <w:rFonts w:hint="eastAsia"/>
          <w:sz w:val="32"/>
          <w:szCs w:val="32"/>
        </w:rPr>
        <w:t>浙江盛洋科技股份有限公司</w:t>
      </w:r>
    </w:p>
    <w:p w14:paraId="0CE49715" w14:textId="71657308" w:rsidR="00EF2475" w:rsidRPr="00EF2475" w:rsidRDefault="00D4431E" w:rsidP="00EF247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月</w:t>
      </w:r>
      <w:r w:rsidR="00EF2475" w:rsidRPr="00EF2475">
        <w:rPr>
          <w:rFonts w:hint="eastAsia"/>
          <w:sz w:val="32"/>
          <w:szCs w:val="32"/>
        </w:rPr>
        <w:t>投资者关系活动记录表</w:t>
      </w:r>
    </w:p>
    <w:p w14:paraId="3884C8A3" w14:textId="77777777" w:rsidR="00EF2475" w:rsidRDefault="00EF2475" w:rsidP="00EF2475">
      <w:pPr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713"/>
      </w:tblGrid>
      <w:tr w:rsidR="00EF2475" w14:paraId="6748225D" w14:textId="77777777" w:rsidTr="00852582">
        <w:tc>
          <w:tcPr>
            <w:tcW w:w="1809" w:type="dxa"/>
            <w:vAlign w:val="center"/>
          </w:tcPr>
          <w:p w14:paraId="14175AE2" w14:textId="77777777" w:rsidR="00852582" w:rsidRDefault="00EF2475" w:rsidP="00852582">
            <w:pPr>
              <w:jc w:val="center"/>
              <w:rPr>
                <w:b/>
              </w:rPr>
            </w:pPr>
            <w:r w:rsidRPr="00CD75C7">
              <w:rPr>
                <w:b/>
              </w:rPr>
              <w:t>投资者关系</w:t>
            </w:r>
          </w:p>
          <w:p w14:paraId="5911DE0B" w14:textId="0CFAFF0D" w:rsidR="00EF2475" w:rsidRPr="00CD75C7" w:rsidRDefault="00EF2475" w:rsidP="00852582">
            <w:pPr>
              <w:jc w:val="center"/>
              <w:rPr>
                <w:b/>
              </w:rPr>
            </w:pPr>
            <w:r w:rsidRPr="00CD75C7">
              <w:rPr>
                <w:b/>
              </w:rPr>
              <w:t>活动类别</w:t>
            </w:r>
          </w:p>
        </w:tc>
        <w:tc>
          <w:tcPr>
            <w:tcW w:w="6713" w:type="dxa"/>
          </w:tcPr>
          <w:p w14:paraId="1D803B1E" w14:textId="2649A6AF" w:rsidR="00EF2475" w:rsidRDefault="00EF2475" w:rsidP="00EF2475">
            <w:pPr>
              <w:spacing w:line="360" w:lineRule="auto"/>
              <w:ind w:right="420"/>
              <w:jc w:val="left"/>
            </w:pPr>
            <w:r>
              <w:rPr>
                <w:rFonts w:hint="eastAsia"/>
              </w:rPr>
              <w:sym w:font="Wingdings" w:char="F0A8"/>
            </w:r>
            <w:r w:rsidR="00455E40">
              <w:rPr>
                <w:rFonts w:hint="eastAsia"/>
              </w:rPr>
              <w:t>特定对象</w:t>
            </w:r>
            <w:r>
              <w:t>调研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sym w:font="Wingdings" w:char="F0A8"/>
            </w:r>
            <w:r>
              <w:rPr>
                <w:rFonts w:hint="eastAsia"/>
              </w:rPr>
              <w:t>分析师会议</w:t>
            </w:r>
            <w:r>
              <w:rPr>
                <w:rFonts w:hint="eastAsia"/>
              </w:rPr>
              <w:t xml:space="preserve">    </w:t>
            </w:r>
            <w:bookmarkStart w:id="0" w:name="OLE_LINK2"/>
            <w:r w:rsidR="00522CEA" w:rsidRPr="00522CEA">
              <w:rPr>
                <w:rFonts w:hint="eastAsia"/>
              </w:rPr>
              <w:t>√</w:t>
            </w:r>
            <w:bookmarkEnd w:id="0"/>
            <w:r>
              <w:rPr>
                <w:rFonts w:hint="eastAsia"/>
              </w:rPr>
              <w:t>业绩说明会</w:t>
            </w:r>
          </w:p>
          <w:p w14:paraId="5B68AFAF" w14:textId="77777777" w:rsidR="00EF2475" w:rsidRDefault="00EF2475" w:rsidP="00EF2475">
            <w:pPr>
              <w:spacing w:line="360" w:lineRule="auto"/>
              <w:ind w:right="420"/>
              <w:jc w:val="left"/>
            </w:pPr>
            <w:r>
              <w:rPr>
                <w:rFonts w:hint="eastAsia"/>
              </w:rPr>
              <w:sym w:font="Wingdings" w:char="F0A8"/>
            </w:r>
            <w:r>
              <w:rPr>
                <w:rFonts w:hint="eastAsia"/>
              </w:rPr>
              <w:t>媒体采访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sym w:font="Wingdings" w:char="F0A8"/>
            </w:r>
            <w:r>
              <w:rPr>
                <w:rFonts w:hint="eastAsia"/>
              </w:rPr>
              <w:t>新闻发布会</w:t>
            </w:r>
            <w:r>
              <w:rPr>
                <w:rFonts w:hint="eastAsia"/>
              </w:rPr>
              <w:t xml:space="preserve">    </w:t>
            </w:r>
            <w:bookmarkStart w:id="1" w:name="OLE_LINK1"/>
            <w:r>
              <w:rPr>
                <w:rFonts w:hint="eastAsia"/>
              </w:rPr>
              <w:sym w:font="Wingdings" w:char="F0A8"/>
            </w:r>
            <w:r>
              <w:rPr>
                <w:rFonts w:hint="eastAsia"/>
              </w:rPr>
              <w:t>路演活动</w:t>
            </w:r>
            <w:bookmarkEnd w:id="1"/>
            <w:r>
              <w:rPr>
                <w:rFonts w:hint="eastAsia"/>
              </w:rPr>
              <w:t xml:space="preserve">   </w:t>
            </w:r>
          </w:p>
          <w:p w14:paraId="5A28B8D8" w14:textId="230CE463" w:rsidR="00EF2475" w:rsidRPr="00EF2475" w:rsidRDefault="00455E40" w:rsidP="00EF2475">
            <w:pPr>
              <w:spacing w:line="360" w:lineRule="auto"/>
              <w:ind w:right="420"/>
              <w:jc w:val="left"/>
              <w:rPr>
                <w:u w:val="single"/>
              </w:rPr>
            </w:pPr>
            <w:r>
              <w:rPr>
                <w:rFonts w:hint="eastAsia"/>
              </w:rPr>
              <w:sym w:font="Wingdings" w:char="F0A8"/>
            </w:r>
            <w:r>
              <w:rPr>
                <w:rFonts w:hint="eastAsia"/>
              </w:rPr>
              <w:t>现场参观</w:t>
            </w:r>
            <w:r>
              <w:rPr>
                <w:rFonts w:hint="eastAsia"/>
              </w:rPr>
              <w:t xml:space="preserve">      </w:t>
            </w:r>
            <w:r w:rsidR="00EF2475">
              <w:rPr>
                <w:rFonts w:hint="eastAsia"/>
              </w:rPr>
              <w:sym w:font="Wingdings" w:char="F0A8"/>
            </w:r>
            <w:r w:rsidR="00EF2475">
              <w:rPr>
                <w:rFonts w:hint="eastAsia"/>
              </w:rPr>
              <w:t>其他</w:t>
            </w:r>
            <w:r w:rsidR="00EF2475">
              <w:rPr>
                <w:rFonts w:hint="eastAsia"/>
                <w:u w:val="single"/>
              </w:rPr>
              <w:t xml:space="preserve">               </w:t>
            </w:r>
          </w:p>
        </w:tc>
      </w:tr>
      <w:tr w:rsidR="009B100C" w14:paraId="6747C602" w14:textId="77777777" w:rsidTr="00852582">
        <w:tc>
          <w:tcPr>
            <w:tcW w:w="1809" w:type="dxa"/>
            <w:vAlign w:val="center"/>
          </w:tcPr>
          <w:p w14:paraId="46A4928E" w14:textId="77777777" w:rsidR="00D4431E" w:rsidRDefault="00455E40" w:rsidP="008525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参与单位</w:t>
            </w:r>
          </w:p>
          <w:p w14:paraId="555B3934" w14:textId="5BFAFC0E" w:rsidR="009B100C" w:rsidRPr="00CD75C7" w:rsidRDefault="00FF50DD" w:rsidP="008525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名</w:t>
            </w:r>
            <w:r w:rsidR="00455E40">
              <w:rPr>
                <w:rFonts w:hint="eastAsia"/>
                <w:b/>
              </w:rPr>
              <w:t>称</w:t>
            </w:r>
          </w:p>
        </w:tc>
        <w:tc>
          <w:tcPr>
            <w:tcW w:w="6713" w:type="dxa"/>
          </w:tcPr>
          <w:p w14:paraId="7E39FD7C" w14:textId="77777777" w:rsidR="003E15F7" w:rsidRDefault="008D691E" w:rsidP="00576615">
            <w:pPr>
              <w:spacing w:line="360" w:lineRule="auto"/>
              <w:ind w:right="420"/>
              <w:jc w:val="left"/>
            </w:pPr>
            <w:r>
              <w:rPr>
                <w:rFonts w:hint="eastAsia"/>
              </w:rPr>
              <w:t>西部证券、</w:t>
            </w:r>
            <w:r w:rsidR="00710A94" w:rsidRPr="00710A94">
              <w:rPr>
                <w:rFonts w:hint="eastAsia"/>
              </w:rPr>
              <w:t>谦象资本、方正证券、玄卜投资、恒丰银行、敦成基金、中信资管、鸿运基金、合道资产、金光紫金创业投资、八零后资产、</w:t>
            </w:r>
            <w:r w:rsidR="00710A94" w:rsidRPr="00710A94">
              <w:rPr>
                <w:rFonts w:hint="eastAsia"/>
              </w:rPr>
              <w:t>IGWT Investment</w:t>
            </w:r>
            <w:r w:rsidR="00710A94" w:rsidRPr="00710A94">
              <w:rPr>
                <w:rFonts w:hint="eastAsia"/>
              </w:rPr>
              <w:t>、君联资本、汇丰晋信基金、上海恒穗资产、</w:t>
            </w:r>
          </w:p>
          <w:p w14:paraId="51AB29B1" w14:textId="77777777" w:rsidR="003E15F7" w:rsidRDefault="00710A94" w:rsidP="00576615">
            <w:pPr>
              <w:spacing w:line="360" w:lineRule="auto"/>
              <w:ind w:right="420"/>
              <w:jc w:val="left"/>
            </w:pPr>
            <w:r w:rsidRPr="00710A94">
              <w:rPr>
                <w:rFonts w:hint="eastAsia"/>
              </w:rPr>
              <w:t>银河基金、尚诚资产、华宝基金、海富通基金、圆信永丰基金、</w:t>
            </w:r>
          </w:p>
          <w:p w14:paraId="27AE5D8E" w14:textId="11BE6EBE" w:rsidR="009B100C" w:rsidRDefault="00710A94" w:rsidP="00576615">
            <w:pPr>
              <w:spacing w:line="360" w:lineRule="auto"/>
              <w:ind w:right="420"/>
              <w:jc w:val="left"/>
            </w:pPr>
            <w:r w:rsidRPr="00710A94">
              <w:rPr>
                <w:rFonts w:hint="eastAsia"/>
              </w:rPr>
              <w:t>明达资产、茂源财富、长信基金、诚旸投资</w:t>
            </w:r>
          </w:p>
        </w:tc>
      </w:tr>
      <w:tr w:rsidR="00E305CC" w14:paraId="1AB0B530" w14:textId="77777777" w:rsidTr="00852582">
        <w:tc>
          <w:tcPr>
            <w:tcW w:w="1809" w:type="dxa"/>
            <w:vAlign w:val="center"/>
          </w:tcPr>
          <w:p w14:paraId="4784281F" w14:textId="64960FA1" w:rsidR="00E305CC" w:rsidRPr="00CD75C7" w:rsidRDefault="00455E40" w:rsidP="008525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时间</w:t>
            </w:r>
          </w:p>
        </w:tc>
        <w:tc>
          <w:tcPr>
            <w:tcW w:w="6713" w:type="dxa"/>
          </w:tcPr>
          <w:p w14:paraId="34040E98" w14:textId="4DA58311" w:rsidR="00E305CC" w:rsidRDefault="00710A94" w:rsidP="005B0CB3">
            <w:pPr>
              <w:ind w:right="420"/>
              <w:jc w:val="left"/>
            </w:pP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日下午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时</w:t>
            </w:r>
          </w:p>
        </w:tc>
      </w:tr>
      <w:tr w:rsidR="00EF2475" w14:paraId="2FEBC2B8" w14:textId="77777777" w:rsidTr="00852582">
        <w:tc>
          <w:tcPr>
            <w:tcW w:w="1809" w:type="dxa"/>
            <w:vAlign w:val="center"/>
          </w:tcPr>
          <w:p w14:paraId="7BBF1FB2" w14:textId="77777777" w:rsidR="00D4431E" w:rsidRDefault="00455E40" w:rsidP="00852582">
            <w:pPr>
              <w:jc w:val="center"/>
              <w:rPr>
                <w:b/>
              </w:rPr>
            </w:pPr>
            <w:r w:rsidRPr="00CD75C7">
              <w:rPr>
                <w:rFonts w:hint="eastAsia"/>
                <w:b/>
              </w:rPr>
              <w:t>上市公司</w:t>
            </w:r>
          </w:p>
          <w:p w14:paraId="0823AF5C" w14:textId="5DFE3188" w:rsidR="00EF2475" w:rsidRPr="00CD75C7" w:rsidRDefault="00455E40" w:rsidP="00852582">
            <w:pPr>
              <w:jc w:val="center"/>
              <w:rPr>
                <w:b/>
              </w:rPr>
            </w:pPr>
            <w:r w:rsidRPr="00CD75C7">
              <w:rPr>
                <w:rFonts w:hint="eastAsia"/>
                <w:b/>
              </w:rPr>
              <w:t>接待人员</w:t>
            </w:r>
          </w:p>
        </w:tc>
        <w:tc>
          <w:tcPr>
            <w:tcW w:w="6713" w:type="dxa"/>
          </w:tcPr>
          <w:p w14:paraId="505A4098" w14:textId="77777777" w:rsidR="00EF2475" w:rsidRDefault="00FF50DD" w:rsidP="00004F4F">
            <w:pPr>
              <w:spacing w:line="360" w:lineRule="auto"/>
              <w:ind w:right="420"/>
              <w:jc w:val="left"/>
            </w:pPr>
            <w:r>
              <w:rPr>
                <w:rFonts w:hint="eastAsia"/>
              </w:rPr>
              <w:t>董事会秘书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申杰峰</w:t>
            </w:r>
          </w:p>
          <w:p w14:paraId="2D8DB1D3" w14:textId="0ABE9F1D" w:rsidR="00004F4F" w:rsidRPr="00EF2475" w:rsidRDefault="00004F4F" w:rsidP="00004F4F">
            <w:pPr>
              <w:spacing w:line="360" w:lineRule="auto"/>
              <w:ind w:right="420"/>
              <w:jc w:val="left"/>
            </w:pPr>
            <w:r>
              <w:rPr>
                <w:rFonts w:hint="eastAsia"/>
              </w:rPr>
              <w:t>证券事务代表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高璟琳</w:t>
            </w:r>
          </w:p>
        </w:tc>
      </w:tr>
      <w:tr w:rsidR="00FF50DD" w14:paraId="65C732EA" w14:textId="77777777" w:rsidTr="00852582">
        <w:tc>
          <w:tcPr>
            <w:tcW w:w="1809" w:type="dxa"/>
            <w:vAlign w:val="center"/>
          </w:tcPr>
          <w:p w14:paraId="0299E93C" w14:textId="1FF763BB" w:rsidR="00FF50DD" w:rsidRPr="00CD75C7" w:rsidRDefault="00FF50DD" w:rsidP="008525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地点</w:t>
            </w:r>
          </w:p>
        </w:tc>
        <w:tc>
          <w:tcPr>
            <w:tcW w:w="6713" w:type="dxa"/>
          </w:tcPr>
          <w:p w14:paraId="2CE4EF90" w14:textId="343DBC9F" w:rsidR="00FF50DD" w:rsidRPr="00E84629" w:rsidRDefault="008D691E" w:rsidP="00FF50DD">
            <w:pPr>
              <w:spacing w:beforeLines="50" w:before="156" w:line="360" w:lineRule="auto"/>
              <w:ind w:right="420"/>
              <w:jc w:val="left"/>
            </w:pPr>
            <w:r>
              <w:rPr>
                <w:rFonts w:hint="eastAsia"/>
              </w:rPr>
              <w:t>西部研究小程序、进门</w:t>
            </w:r>
            <w:r>
              <w:rPr>
                <w:rFonts w:hint="eastAsia"/>
              </w:rPr>
              <w:t>APP</w:t>
            </w:r>
            <w:r>
              <w:rPr>
                <w:rFonts w:hint="eastAsia"/>
              </w:rPr>
              <w:t>网络</w:t>
            </w:r>
            <w:r w:rsidR="003E15F7">
              <w:rPr>
                <w:rFonts w:hint="eastAsia"/>
              </w:rPr>
              <w:t>及电话会议</w:t>
            </w:r>
            <w:r>
              <w:rPr>
                <w:rFonts w:hint="eastAsia"/>
              </w:rPr>
              <w:t>方式</w:t>
            </w:r>
          </w:p>
        </w:tc>
      </w:tr>
      <w:tr w:rsidR="00FF50DD" w14:paraId="5837586D" w14:textId="77777777" w:rsidTr="00852582">
        <w:trPr>
          <w:trHeight w:val="1408"/>
        </w:trPr>
        <w:tc>
          <w:tcPr>
            <w:tcW w:w="1809" w:type="dxa"/>
            <w:vAlign w:val="center"/>
          </w:tcPr>
          <w:p w14:paraId="25F91F6A" w14:textId="4C733149" w:rsidR="00FF50DD" w:rsidRPr="00CD75C7" w:rsidRDefault="00FF50DD" w:rsidP="00852582">
            <w:pPr>
              <w:jc w:val="center"/>
              <w:rPr>
                <w:b/>
              </w:rPr>
            </w:pPr>
            <w:r w:rsidRPr="00CD75C7">
              <w:rPr>
                <w:b/>
              </w:rPr>
              <w:t>投资者关系活动主要内容</w:t>
            </w:r>
            <w:r>
              <w:rPr>
                <w:rFonts w:hint="eastAsia"/>
                <w:b/>
              </w:rPr>
              <w:t>介绍</w:t>
            </w:r>
          </w:p>
        </w:tc>
        <w:tc>
          <w:tcPr>
            <w:tcW w:w="6713" w:type="dxa"/>
          </w:tcPr>
          <w:p w14:paraId="147482BB" w14:textId="77777777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bCs/>
                <w:szCs w:val="21"/>
              </w:rPr>
              <w:t>一、</w:t>
            </w:r>
            <w:r w:rsidRPr="00D4431E">
              <w:rPr>
                <w:rFonts w:ascii="宋体" w:eastAsia="宋体" w:hAnsi="宋体"/>
                <w:b/>
                <w:bCs/>
                <w:szCs w:val="21"/>
              </w:rPr>
              <w:t>董事会秘书</w:t>
            </w:r>
            <w:r w:rsidRPr="00D4431E">
              <w:rPr>
                <w:rFonts w:ascii="宋体" w:eastAsia="宋体" w:hAnsi="宋体" w:hint="eastAsia"/>
                <w:b/>
                <w:bCs/>
                <w:szCs w:val="21"/>
              </w:rPr>
              <w:t>申杰峰</w:t>
            </w:r>
            <w:r w:rsidRPr="00D4431E">
              <w:rPr>
                <w:rFonts w:ascii="宋体" w:eastAsia="宋体" w:hAnsi="宋体"/>
                <w:b/>
                <w:bCs/>
                <w:szCs w:val="21"/>
              </w:rPr>
              <w:t>介绍公司</w:t>
            </w:r>
            <w:r w:rsidRPr="00D4431E">
              <w:rPr>
                <w:rFonts w:ascii="宋体" w:eastAsia="宋体" w:hAnsi="宋体" w:hint="eastAsia"/>
                <w:b/>
                <w:bCs/>
                <w:szCs w:val="21"/>
              </w:rPr>
              <w:t>经营</w:t>
            </w:r>
            <w:r w:rsidRPr="00D4431E">
              <w:rPr>
                <w:rFonts w:ascii="宋体" w:eastAsia="宋体" w:hAnsi="宋体"/>
                <w:b/>
                <w:bCs/>
                <w:szCs w:val="21"/>
              </w:rPr>
              <w:t>情况</w:t>
            </w:r>
          </w:p>
          <w:p w14:paraId="54C7F282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（一）经营业绩概况</w:t>
            </w:r>
          </w:p>
          <w:p w14:paraId="15AF565F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/>
                <w:szCs w:val="21"/>
              </w:rPr>
              <w:t>2026</w:t>
            </w:r>
            <w:r w:rsidRPr="00D4431E">
              <w:rPr>
                <w:rFonts w:ascii="宋体" w:eastAsia="宋体" w:hAnsi="宋体" w:hint="eastAsia"/>
                <w:szCs w:val="21"/>
              </w:rPr>
              <w:t>年上半年，公司实现营业收入约</w:t>
            </w:r>
            <w:r w:rsidRPr="00D4431E">
              <w:rPr>
                <w:rFonts w:ascii="宋体" w:eastAsia="宋体" w:hAnsi="宋体"/>
                <w:szCs w:val="21"/>
              </w:rPr>
              <w:t>6</w:t>
            </w:r>
            <w:r w:rsidRPr="00D4431E">
              <w:rPr>
                <w:rFonts w:ascii="宋体" w:eastAsia="宋体" w:hAnsi="宋体" w:hint="eastAsia"/>
                <w:szCs w:val="21"/>
              </w:rPr>
              <w:t>.2亿元，同比增长</w:t>
            </w:r>
            <w:r w:rsidRPr="00D4431E">
              <w:rPr>
                <w:rFonts w:ascii="宋体" w:eastAsia="宋体" w:hAnsi="宋体"/>
                <w:szCs w:val="21"/>
              </w:rPr>
              <w:t>48.94%</w:t>
            </w:r>
            <w:r w:rsidRPr="00D4431E">
              <w:rPr>
                <w:rFonts w:ascii="宋体" w:eastAsia="宋体" w:hAnsi="宋体" w:hint="eastAsia"/>
                <w:szCs w:val="21"/>
              </w:rPr>
              <w:t>；归属于上市公司股东的净利润</w:t>
            </w:r>
            <w:r w:rsidRPr="00D4431E">
              <w:rPr>
                <w:rFonts w:ascii="宋体" w:eastAsia="宋体" w:hAnsi="宋体"/>
                <w:szCs w:val="21"/>
              </w:rPr>
              <w:t>-2,137.79</w:t>
            </w:r>
            <w:r w:rsidRPr="00D4431E">
              <w:rPr>
                <w:rFonts w:ascii="宋体" w:eastAsia="宋体" w:hAnsi="宋体" w:hint="eastAsia"/>
                <w:szCs w:val="21"/>
              </w:rPr>
              <w:t>万元，较上年同期由盈转亏；归属于上市公司股东的扣除非经常性损益的净利润</w:t>
            </w:r>
            <w:r w:rsidRPr="00D4431E">
              <w:rPr>
                <w:rFonts w:ascii="宋体" w:eastAsia="宋体" w:hAnsi="宋体"/>
                <w:szCs w:val="21"/>
              </w:rPr>
              <w:t>-2,390.91</w:t>
            </w:r>
            <w:r w:rsidRPr="00D4431E">
              <w:rPr>
                <w:rFonts w:ascii="宋体" w:eastAsia="宋体" w:hAnsi="宋体" w:hint="eastAsia"/>
                <w:szCs w:val="21"/>
              </w:rPr>
              <w:t>万元；综合毛利率</w:t>
            </w:r>
            <w:r w:rsidRPr="00D4431E">
              <w:rPr>
                <w:rFonts w:ascii="宋体" w:eastAsia="宋体" w:hAnsi="宋体"/>
                <w:szCs w:val="21"/>
              </w:rPr>
              <w:t>18.39%</w:t>
            </w:r>
            <w:r w:rsidRPr="00D4431E">
              <w:rPr>
                <w:rFonts w:ascii="宋体" w:eastAsia="宋体" w:hAnsi="宋体" w:hint="eastAsia"/>
                <w:szCs w:val="21"/>
              </w:rPr>
              <w:t>，较上年同期下降</w:t>
            </w:r>
            <w:r w:rsidRPr="00D4431E">
              <w:rPr>
                <w:rFonts w:ascii="宋体" w:eastAsia="宋体" w:hAnsi="宋体"/>
                <w:szCs w:val="21"/>
              </w:rPr>
              <w:t>8.87</w:t>
            </w:r>
            <w:r w:rsidRPr="00D4431E">
              <w:rPr>
                <w:rFonts w:ascii="宋体" w:eastAsia="宋体" w:hAnsi="宋体" w:hint="eastAsia"/>
                <w:szCs w:val="21"/>
              </w:rPr>
              <w:t>个百分点。</w:t>
            </w:r>
          </w:p>
          <w:p w14:paraId="029138A2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（二）收入结构</w:t>
            </w:r>
          </w:p>
          <w:p w14:paraId="18364238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分产品看：显示器件</w:t>
            </w:r>
            <w:r w:rsidRPr="00D4431E">
              <w:rPr>
                <w:rFonts w:ascii="宋体" w:eastAsia="宋体" w:hAnsi="宋体"/>
                <w:szCs w:val="21"/>
              </w:rPr>
              <w:t>2</w:t>
            </w:r>
            <w:r w:rsidRPr="00D4431E">
              <w:rPr>
                <w:rFonts w:ascii="宋体" w:eastAsia="宋体" w:hAnsi="宋体" w:hint="eastAsia"/>
                <w:szCs w:val="21"/>
              </w:rPr>
              <w:t>.40亿元，占营业收入</w:t>
            </w:r>
            <w:r w:rsidRPr="00D4431E">
              <w:rPr>
                <w:rFonts w:ascii="宋体" w:eastAsia="宋体" w:hAnsi="宋体"/>
                <w:szCs w:val="21"/>
              </w:rPr>
              <w:t>38.77%</w:t>
            </w:r>
            <w:r w:rsidRPr="00D4431E">
              <w:rPr>
                <w:rFonts w:ascii="宋体" w:eastAsia="宋体" w:hAnsi="宋体" w:hint="eastAsia"/>
                <w:szCs w:val="21"/>
              </w:rPr>
              <w:t>；射频电缆类产品</w:t>
            </w:r>
            <w:r w:rsidRPr="00D4431E">
              <w:rPr>
                <w:rFonts w:ascii="宋体" w:eastAsia="宋体" w:hAnsi="宋体"/>
                <w:szCs w:val="21"/>
              </w:rPr>
              <w:t>2</w:t>
            </w:r>
            <w:r w:rsidRPr="00D4431E">
              <w:rPr>
                <w:rFonts w:ascii="宋体" w:eastAsia="宋体" w:hAnsi="宋体" w:hint="eastAsia"/>
                <w:szCs w:val="21"/>
              </w:rPr>
              <w:t>.23亿元，占</w:t>
            </w:r>
            <w:r w:rsidRPr="00D4431E">
              <w:rPr>
                <w:rFonts w:ascii="宋体" w:eastAsia="宋体" w:hAnsi="宋体"/>
                <w:szCs w:val="21"/>
              </w:rPr>
              <w:t>35.97%</w:t>
            </w:r>
            <w:r w:rsidRPr="00D4431E">
              <w:rPr>
                <w:rFonts w:ascii="宋体" w:eastAsia="宋体" w:hAnsi="宋体" w:hint="eastAsia"/>
                <w:szCs w:val="21"/>
              </w:rPr>
              <w:t>；卫星通信接收终端及解决方案相关业务1.12亿元，占</w:t>
            </w:r>
            <w:r w:rsidRPr="00D4431E">
              <w:rPr>
                <w:rFonts w:ascii="宋体" w:eastAsia="宋体" w:hAnsi="宋体"/>
                <w:szCs w:val="21"/>
              </w:rPr>
              <w:t>1</w:t>
            </w:r>
            <w:r w:rsidRPr="00D4431E">
              <w:rPr>
                <w:rFonts w:ascii="宋体" w:eastAsia="宋体" w:hAnsi="宋体" w:hint="eastAsia"/>
                <w:szCs w:val="21"/>
              </w:rPr>
              <w:t>8</w:t>
            </w:r>
            <w:r w:rsidRPr="00D4431E">
              <w:rPr>
                <w:rFonts w:ascii="宋体" w:eastAsia="宋体" w:hAnsi="宋体"/>
                <w:szCs w:val="21"/>
              </w:rPr>
              <w:t>%</w:t>
            </w:r>
            <w:r w:rsidRPr="00D4431E">
              <w:rPr>
                <w:rFonts w:ascii="宋体" w:eastAsia="宋体" w:hAnsi="宋体" w:hint="eastAsia"/>
                <w:szCs w:val="21"/>
              </w:rPr>
              <w:t>；其余为</w:t>
            </w:r>
            <w:r w:rsidRPr="00D4431E">
              <w:rPr>
                <w:rFonts w:ascii="宋体" w:eastAsia="宋体" w:hAnsi="宋体"/>
                <w:szCs w:val="21"/>
              </w:rPr>
              <w:t>5G</w:t>
            </w:r>
            <w:r w:rsidRPr="00D4431E">
              <w:rPr>
                <w:rFonts w:ascii="宋体" w:eastAsia="宋体" w:hAnsi="宋体" w:hint="eastAsia"/>
                <w:szCs w:val="21"/>
              </w:rPr>
              <w:t>通讯基站服务和其他部分。</w:t>
            </w:r>
          </w:p>
          <w:p w14:paraId="74972DFE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分地区看：国内</w:t>
            </w:r>
            <w:r w:rsidRPr="00D4431E">
              <w:rPr>
                <w:rFonts w:ascii="宋体" w:eastAsia="宋体" w:hAnsi="宋体"/>
                <w:szCs w:val="21"/>
              </w:rPr>
              <w:t>38,685.46</w:t>
            </w:r>
            <w:r w:rsidRPr="00D4431E">
              <w:rPr>
                <w:rFonts w:ascii="宋体" w:eastAsia="宋体" w:hAnsi="宋体" w:hint="eastAsia"/>
                <w:szCs w:val="21"/>
              </w:rPr>
              <w:t>万元，占</w:t>
            </w:r>
            <w:r w:rsidRPr="00D4431E">
              <w:rPr>
                <w:rFonts w:ascii="宋体" w:eastAsia="宋体" w:hAnsi="宋体"/>
                <w:szCs w:val="21"/>
              </w:rPr>
              <w:t>62.41%</w:t>
            </w:r>
            <w:r w:rsidRPr="00D4431E">
              <w:rPr>
                <w:rFonts w:ascii="宋体" w:eastAsia="宋体" w:hAnsi="宋体" w:hint="eastAsia"/>
                <w:szCs w:val="21"/>
              </w:rPr>
              <w:t>，同比增长</w:t>
            </w:r>
            <w:r w:rsidRPr="00D4431E">
              <w:rPr>
                <w:rFonts w:ascii="宋体" w:eastAsia="宋体" w:hAnsi="宋体"/>
                <w:szCs w:val="21"/>
              </w:rPr>
              <w:t>62.13%</w:t>
            </w:r>
            <w:r w:rsidRPr="00D4431E">
              <w:rPr>
                <w:rFonts w:ascii="宋体" w:eastAsia="宋体" w:hAnsi="宋体" w:hint="eastAsia"/>
                <w:szCs w:val="21"/>
              </w:rPr>
              <w:t>；国外</w:t>
            </w:r>
            <w:r w:rsidRPr="00D4431E">
              <w:rPr>
                <w:rFonts w:ascii="宋体" w:eastAsia="宋体" w:hAnsi="宋体"/>
                <w:szCs w:val="21"/>
              </w:rPr>
              <w:t>23,297.26</w:t>
            </w:r>
            <w:r w:rsidRPr="00D4431E">
              <w:rPr>
                <w:rFonts w:ascii="宋体" w:eastAsia="宋体" w:hAnsi="宋体" w:hint="eastAsia"/>
                <w:szCs w:val="21"/>
              </w:rPr>
              <w:t>万元，占</w:t>
            </w:r>
            <w:r w:rsidRPr="00D4431E">
              <w:rPr>
                <w:rFonts w:ascii="宋体" w:eastAsia="宋体" w:hAnsi="宋体"/>
                <w:szCs w:val="21"/>
              </w:rPr>
              <w:t>37.59%</w:t>
            </w:r>
            <w:r w:rsidRPr="00D4431E">
              <w:rPr>
                <w:rFonts w:ascii="宋体" w:eastAsia="宋体" w:hAnsi="宋体" w:hint="eastAsia"/>
                <w:szCs w:val="21"/>
              </w:rPr>
              <w:t>，同比增长</w:t>
            </w:r>
            <w:r w:rsidRPr="00D4431E">
              <w:rPr>
                <w:rFonts w:ascii="宋体" w:eastAsia="宋体" w:hAnsi="宋体"/>
                <w:szCs w:val="21"/>
              </w:rPr>
              <w:t>31.22%</w:t>
            </w:r>
            <w:r w:rsidRPr="00D4431E">
              <w:rPr>
                <w:rFonts w:ascii="宋体" w:eastAsia="宋体" w:hAnsi="宋体" w:hint="eastAsia"/>
                <w:szCs w:val="21"/>
              </w:rPr>
              <w:t>。</w:t>
            </w:r>
          </w:p>
          <w:p w14:paraId="66CC5D56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（三）业绩变动原因</w:t>
            </w:r>
          </w:p>
          <w:p w14:paraId="49259405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报告期内营业收入同比增长，主要来自高性能数据线缆的</w:t>
            </w:r>
            <w:r w:rsidRPr="00D4431E">
              <w:rPr>
                <w:rFonts w:ascii="宋体" w:eastAsia="宋体" w:hAnsi="宋体"/>
                <w:szCs w:val="21"/>
              </w:rPr>
              <w:t>需求增长</w:t>
            </w:r>
            <w:r w:rsidRPr="00D4431E">
              <w:rPr>
                <w:rFonts w:ascii="宋体" w:eastAsia="宋体" w:hAnsi="宋体" w:hint="eastAsia"/>
                <w:szCs w:val="21"/>
              </w:rPr>
              <w:t>、显示器件业务的</w:t>
            </w:r>
            <w:r w:rsidRPr="00D4431E">
              <w:rPr>
                <w:rFonts w:ascii="宋体" w:eastAsia="宋体" w:hAnsi="宋体"/>
                <w:szCs w:val="21"/>
              </w:rPr>
              <w:t>并表贡献</w:t>
            </w:r>
            <w:r w:rsidRPr="00D4431E">
              <w:rPr>
                <w:rFonts w:ascii="宋体" w:eastAsia="宋体" w:hAnsi="宋体" w:hint="eastAsia"/>
                <w:szCs w:val="21"/>
              </w:rPr>
              <w:t>、卫星通信终端业务的增长。</w:t>
            </w:r>
          </w:p>
          <w:p w14:paraId="41AC4D3F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净利润由盈转亏，主要归因是受国际形势和宏观经济环境等因素影响，大宗商品材料价格同比上涨，</w:t>
            </w:r>
            <w:r w:rsidRPr="00D4431E">
              <w:rPr>
                <w:rFonts w:ascii="宋体" w:eastAsia="宋体" w:hAnsi="宋体"/>
                <w:szCs w:val="21"/>
              </w:rPr>
              <w:t>成本传导存在时滞</w:t>
            </w:r>
            <w:r w:rsidRPr="00D4431E">
              <w:rPr>
                <w:rFonts w:ascii="宋体" w:eastAsia="宋体" w:hAnsi="宋体" w:hint="eastAsia"/>
                <w:szCs w:val="21"/>
              </w:rPr>
              <w:t>，导致综合毛利率较上年同期下降，本期汇兑由收益转为损失，以及</w:t>
            </w:r>
            <w:r w:rsidRPr="00D4431E">
              <w:rPr>
                <w:rFonts w:ascii="宋体" w:eastAsia="宋体" w:hAnsi="宋体"/>
                <w:szCs w:val="21"/>
              </w:rPr>
              <w:t>收入增长带动信用减值计提增加</w:t>
            </w:r>
            <w:r w:rsidRPr="00D4431E">
              <w:rPr>
                <w:rFonts w:ascii="宋体" w:eastAsia="宋体" w:hAnsi="宋体" w:hint="eastAsia"/>
                <w:szCs w:val="21"/>
              </w:rPr>
              <w:t>。</w:t>
            </w:r>
          </w:p>
          <w:p w14:paraId="0A1C4407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影响利润变动的主要项目包括：财务费用中的汇兑损失</w:t>
            </w:r>
            <w:r w:rsidRPr="00D4431E">
              <w:rPr>
                <w:rFonts w:ascii="宋体" w:eastAsia="宋体" w:hAnsi="宋体"/>
                <w:szCs w:val="21"/>
              </w:rPr>
              <w:t>926.53</w:t>
            </w:r>
            <w:r w:rsidRPr="00D4431E">
              <w:rPr>
                <w:rFonts w:ascii="宋体" w:eastAsia="宋体" w:hAnsi="宋体" w:hint="eastAsia"/>
                <w:szCs w:val="21"/>
              </w:rPr>
              <w:t>万</w:t>
            </w:r>
            <w:r w:rsidRPr="00D4431E">
              <w:rPr>
                <w:rFonts w:ascii="宋体" w:eastAsia="宋体" w:hAnsi="宋体" w:hint="eastAsia"/>
                <w:szCs w:val="21"/>
              </w:rPr>
              <w:lastRenderedPageBreak/>
              <w:t>元（上年同期为汇兑收益</w:t>
            </w:r>
            <w:r w:rsidRPr="00D4431E">
              <w:rPr>
                <w:rFonts w:ascii="宋体" w:eastAsia="宋体" w:hAnsi="宋体"/>
                <w:szCs w:val="21"/>
              </w:rPr>
              <w:t>371.46</w:t>
            </w:r>
            <w:r w:rsidRPr="00D4431E">
              <w:rPr>
                <w:rFonts w:ascii="宋体" w:eastAsia="宋体" w:hAnsi="宋体" w:hint="eastAsia"/>
                <w:szCs w:val="21"/>
              </w:rPr>
              <w:t>万元）；信用减值损失</w:t>
            </w:r>
            <w:r w:rsidRPr="00D4431E">
              <w:rPr>
                <w:rFonts w:ascii="宋体" w:eastAsia="宋体" w:hAnsi="宋体"/>
                <w:szCs w:val="21"/>
              </w:rPr>
              <w:t>812.71</w:t>
            </w:r>
            <w:r w:rsidRPr="00D4431E">
              <w:rPr>
                <w:rFonts w:ascii="宋体" w:eastAsia="宋体" w:hAnsi="宋体" w:hint="eastAsia"/>
                <w:szCs w:val="21"/>
              </w:rPr>
              <w:t>万元（上年同期为收益</w:t>
            </w:r>
            <w:r w:rsidRPr="00D4431E">
              <w:rPr>
                <w:rFonts w:ascii="宋体" w:eastAsia="宋体" w:hAnsi="宋体"/>
                <w:szCs w:val="21"/>
              </w:rPr>
              <w:t>83.40</w:t>
            </w:r>
            <w:r w:rsidRPr="00D4431E">
              <w:rPr>
                <w:rFonts w:ascii="宋体" w:eastAsia="宋体" w:hAnsi="宋体" w:hint="eastAsia"/>
                <w:szCs w:val="21"/>
              </w:rPr>
              <w:t>万元）；股份支付费用</w:t>
            </w:r>
            <w:r w:rsidRPr="00D4431E">
              <w:rPr>
                <w:rFonts w:ascii="宋体" w:eastAsia="宋体" w:hAnsi="宋体"/>
                <w:szCs w:val="21"/>
              </w:rPr>
              <w:t>546.91</w:t>
            </w:r>
            <w:r w:rsidRPr="00D4431E">
              <w:rPr>
                <w:rFonts w:ascii="宋体" w:eastAsia="宋体" w:hAnsi="宋体" w:hint="eastAsia"/>
                <w:szCs w:val="21"/>
              </w:rPr>
              <w:t>万元（上年同期</w:t>
            </w:r>
            <w:r w:rsidRPr="00D4431E">
              <w:rPr>
                <w:rFonts w:ascii="宋体" w:eastAsia="宋体" w:hAnsi="宋体"/>
                <w:szCs w:val="21"/>
              </w:rPr>
              <w:t>1,039.64</w:t>
            </w:r>
            <w:r w:rsidRPr="00D4431E">
              <w:rPr>
                <w:rFonts w:ascii="宋体" w:eastAsia="宋体" w:hAnsi="宋体" w:hint="eastAsia"/>
                <w:szCs w:val="21"/>
              </w:rPr>
              <w:t>万元）；其他收益（政府补助）</w:t>
            </w:r>
            <w:r w:rsidRPr="00D4431E">
              <w:rPr>
                <w:rFonts w:ascii="宋体" w:eastAsia="宋体" w:hAnsi="宋体"/>
                <w:szCs w:val="21"/>
              </w:rPr>
              <w:t>187.11</w:t>
            </w:r>
            <w:r w:rsidRPr="00D4431E">
              <w:rPr>
                <w:rFonts w:ascii="宋体" w:eastAsia="宋体" w:hAnsi="宋体" w:hint="eastAsia"/>
                <w:szCs w:val="21"/>
              </w:rPr>
              <w:t>万元（上年同期</w:t>
            </w:r>
            <w:r w:rsidRPr="00D4431E">
              <w:rPr>
                <w:rFonts w:ascii="宋体" w:eastAsia="宋体" w:hAnsi="宋体"/>
                <w:szCs w:val="21"/>
              </w:rPr>
              <w:t>428.44</w:t>
            </w:r>
            <w:r w:rsidRPr="00D4431E">
              <w:rPr>
                <w:rFonts w:ascii="宋体" w:eastAsia="宋体" w:hAnsi="宋体" w:hint="eastAsia"/>
                <w:szCs w:val="21"/>
              </w:rPr>
              <w:t>万元）。上述项目的具体变动情况详见公司</w:t>
            </w:r>
            <w:r w:rsidRPr="00D4431E">
              <w:rPr>
                <w:rFonts w:ascii="宋体" w:eastAsia="宋体" w:hAnsi="宋体"/>
                <w:szCs w:val="21"/>
              </w:rPr>
              <w:t>2026</w:t>
            </w:r>
            <w:r w:rsidRPr="00D4431E">
              <w:rPr>
                <w:rFonts w:ascii="宋体" w:eastAsia="宋体" w:hAnsi="宋体" w:hint="eastAsia"/>
                <w:szCs w:val="21"/>
              </w:rPr>
              <w:t>年半年度报告财务报表附注。</w:t>
            </w:r>
          </w:p>
          <w:p w14:paraId="796A87B9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/>
                <w:szCs w:val="21"/>
              </w:rPr>
              <w:t>经营现金流为负的原因</w:t>
            </w:r>
            <w:r w:rsidRPr="00D4431E">
              <w:rPr>
                <w:rFonts w:ascii="宋体" w:eastAsia="宋体" w:hAnsi="宋体" w:hint="eastAsia"/>
                <w:szCs w:val="21"/>
              </w:rPr>
              <w:t>是</w:t>
            </w:r>
            <w:r w:rsidRPr="00D4431E">
              <w:rPr>
                <w:rFonts w:ascii="宋体" w:eastAsia="宋体" w:hAnsi="宋体"/>
                <w:szCs w:val="21"/>
              </w:rPr>
              <w:t>上半年收入增长近50%，备货、在产品、应收规模同步扩张，叠加</w:t>
            </w:r>
            <w:r w:rsidRPr="00D4431E">
              <w:rPr>
                <w:rFonts w:ascii="宋体" w:eastAsia="宋体" w:hAnsi="宋体" w:hint="eastAsia"/>
                <w:szCs w:val="21"/>
              </w:rPr>
              <w:t>部分</w:t>
            </w:r>
            <w:r w:rsidRPr="00D4431E">
              <w:rPr>
                <w:rFonts w:ascii="宋体" w:eastAsia="宋体" w:hAnsi="宋体"/>
                <w:szCs w:val="21"/>
              </w:rPr>
              <w:t>子公司业务推进</w:t>
            </w:r>
            <w:r w:rsidRPr="00D4431E">
              <w:rPr>
                <w:rFonts w:ascii="宋体" w:eastAsia="宋体" w:hAnsi="宋体" w:hint="eastAsia"/>
                <w:szCs w:val="21"/>
              </w:rPr>
              <w:t>，</w:t>
            </w:r>
            <w:r w:rsidRPr="00D4431E">
              <w:rPr>
                <w:rFonts w:ascii="宋体" w:eastAsia="宋体" w:hAnsi="宋体"/>
                <w:szCs w:val="21"/>
              </w:rPr>
              <w:t>推高短期支出；后续将通过优化回款节奏、保障营运资金周转改善现金流，目前无流动性风险。</w:t>
            </w:r>
          </w:p>
          <w:p w14:paraId="06E5B37B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（四）主要业务进展</w:t>
            </w:r>
          </w:p>
          <w:p w14:paraId="35231F1F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1、高速线缆业务（基座业务）</w:t>
            </w:r>
          </w:p>
          <w:p w14:paraId="1F6DACE6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/>
                <w:szCs w:val="21"/>
              </w:rPr>
              <w:t>2026年上半年，公司射频电缆类产品实现营业收入2.23亿元，占总营收比重35.97%；其中高速线缆业务受益于AI算力基础设施建设带动的高性能数据线缆需求增长，实现营业收入2.06亿元，报告期内新增客户13家。受新能源汽车补贴政策调整影响，车载高速线缆需求曾阶段性承压，</w:t>
            </w:r>
            <w:r w:rsidRPr="00D4431E">
              <w:rPr>
                <w:rFonts w:ascii="宋体" w:eastAsia="宋体" w:hAnsi="宋体" w:hint="eastAsia"/>
                <w:szCs w:val="21"/>
              </w:rPr>
              <w:t>Q2</w:t>
            </w:r>
            <w:r w:rsidRPr="00D4431E">
              <w:rPr>
                <w:rFonts w:ascii="宋体" w:eastAsia="宋体" w:hAnsi="宋体"/>
                <w:szCs w:val="21"/>
              </w:rPr>
              <w:t>起相关需求已逐步恢复。该板块毛利率有所下降，主要系铜、聚乙烯（PE）等主要原材料采购价格同比大幅上涨，产品价格向客户传导存在一定滞后性所致。</w:t>
            </w:r>
          </w:p>
          <w:p w14:paraId="4D8EB5B7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2、显示器件业务</w:t>
            </w:r>
            <w:r w:rsidRPr="00D4431E">
              <w:rPr>
                <w:rFonts w:ascii="宋体" w:eastAsia="宋体" w:hAnsi="宋体"/>
                <w:szCs w:val="21"/>
              </w:rPr>
              <w:t>（新增贡献业务）</w:t>
            </w:r>
          </w:p>
          <w:p w14:paraId="76DE163A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2026年上半年实现营业收入2.4亿元，占总营收比重38.77%。报告期内公司完成对广东弘电视讯科技有限公司51%股权的收购并纳入合并报表范围，新增中小尺寸TFT-LCD业务，并表后贡献营业收入1.12亿元，成为公司营收增长新动力。目前该业务尚处于成长期投入及并表整合阶段，正在推进产能建设与工艺升级，后续收入具备一定增长潜力。</w:t>
            </w:r>
          </w:p>
          <w:p w14:paraId="4107ACBA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3、卫星通信业务</w:t>
            </w:r>
            <w:r w:rsidRPr="00D4431E">
              <w:rPr>
                <w:rFonts w:ascii="宋体" w:eastAsia="宋体" w:hAnsi="宋体"/>
                <w:szCs w:val="21"/>
              </w:rPr>
              <w:t>（第二增长曲线）</w:t>
            </w:r>
          </w:p>
          <w:p w14:paraId="5E7A2692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卫星通信接收终端及解决方案相关业务实现营业收入</w:t>
            </w:r>
            <w:r w:rsidRPr="00D4431E">
              <w:rPr>
                <w:rFonts w:ascii="宋体" w:eastAsia="宋体" w:hAnsi="宋体"/>
                <w:szCs w:val="21"/>
              </w:rPr>
              <w:t>1</w:t>
            </w:r>
            <w:r w:rsidRPr="00D4431E">
              <w:rPr>
                <w:rFonts w:ascii="宋体" w:eastAsia="宋体" w:hAnsi="宋体" w:hint="eastAsia"/>
                <w:szCs w:val="21"/>
              </w:rPr>
              <w:t>.12亿元，较上年同期增长约</w:t>
            </w:r>
            <w:r w:rsidRPr="00D4431E">
              <w:rPr>
                <w:rFonts w:ascii="宋体" w:eastAsia="宋体" w:hAnsi="宋体"/>
                <w:szCs w:val="21"/>
              </w:rPr>
              <w:t>110%</w:t>
            </w:r>
            <w:r w:rsidRPr="00D4431E">
              <w:rPr>
                <w:rFonts w:ascii="宋体" w:eastAsia="宋体" w:hAnsi="宋体" w:hint="eastAsia"/>
                <w:szCs w:val="21"/>
              </w:rPr>
              <w:t>；公司取得</w:t>
            </w:r>
            <w:r w:rsidRPr="00D4431E">
              <w:rPr>
                <w:rFonts w:ascii="宋体" w:eastAsia="宋体" w:hAnsi="宋体"/>
                <w:szCs w:val="21"/>
              </w:rPr>
              <w:t>CANAL+ GROUP</w:t>
            </w:r>
            <w:r w:rsidRPr="00D4431E">
              <w:rPr>
                <w:rFonts w:ascii="宋体" w:eastAsia="宋体" w:hAnsi="宋体" w:hint="eastAsia"/>
                <w:szCs w:val="21"/>
              </w:rPr>
              <w:t>等客户多批订单，报告期内相关订单已完成出货约</w:t>
            </w:r>
            <w:r w:rsidRPr="00D4431E">
              <w:rPr>
                <w:rFonts w:ascii="宋体" w:eastAsia="宋体" w:hAnsi="宋体"/>
                <w:szCs w:val="21"/>
              </w:rPr>
              <w:t>80%</w:t>
            </w:r>
            <w:r w:rsidRPr="00D4431E">
              <w:rPr>
                <w:rFonts w:ascii="宋体" w:eastAsia="宋体" w:hAnsi="宋体" w:hint="eastAsia"/>
                <w:szCs w:val="21"/>
              </w:rPr>
              <w:t>，后续交付接单工作将持续开展；与</w:t>
            </w:r>
            <w:r w:rsidRPr="00D4431E">
              <w:rPr>
                <w:rFonts w:ascii="宋体" w:eastAsia="宋体" w:hAnsi="宋体"/>
                <w:szCs w:val="21"/>
              </w:rPr>
              <w:t>SES</w:t>
            </w:r>
            <w:r w:rsidRPr="00D4431E">
              <w:rPr>
                <w:rFonts w:ascii="宋体" w:eastAsia="宋体" w:hAnsi="宋体" w:hint="eastAsia"/>
                <w:szCs w:val="21"/>
              </w:rPr>
              <w:t>合作的南美项目按计划有序推进。</w:t>
            </w:r>
          </w:p>
          <w:p w14:paraId="0F26A86D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（五）资本运作情况</w:t>
            </w:r>
          </w:p>
          <w:p w14:paraId="59181AF6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1、再融资（产能）</w:t>
            </w:r>
          </w:p>
          <w:p w14:paraId="0CCF4682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/>
                <w:szCs w:val="21"/>
              </w:rPr>
              <w:t>公司2026年度向特定对象发行A股股票方案已于2026年6月22日经公司临时股东会审议通过，拟募集资金总额不超过10.76亿元，用于新型智慧显示器件智能制造项目、卫星互联网通信终端智能制造项目建设及补充流动资金。目前发行申报准备工作正在推进中，后续发行尚需履行监管审核、市场询价等程序，能否成功发行及最终发行规模存在不确定性。</w:t>
            </w:r>
          </w:p>
          <w:p w14:paraId="06D0955D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2、收购（渠道）</w:t>
            </w:r>
          </w:p>
          <w:p w14:paraId="0AFEC3BD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公司子公司FTA以419万英镑现金收购Triax UK Limited 100%股权，本次收购有助于公司进一步拓展欧洲本地化渠道与客户资源。</w:t>
            </w:r>
          </w:p>
          <w:p w14:paraId="6AA7F0EA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3、综合授信（流动性）</w:t>
            </w:r>
          </w:p>
          <w:p w14:paraId="47D2373F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根据公司《关于2026年度申请银行综合授信额度的公告》，公司及子公司拟向银行申请总额不超过人民币20亿元的综合授信额度，为公司日常经营及业务扩张提供流动性支撑。</w:t>
            </w:r>
          </w:p>
          <w:p w14:paraId="669E377D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/>
                <w:szCs w:val="21"/>
              </w:rPr>
              <w:t>上述再融资、收购、授信事项分别对应产能建设、渠道拓展、流动</w:t>
            </w:r>
            <w:r w:rsidRPr="00D4431E">
              <w:rPr>
                <w:rFonts w:ascii="宋体" w:eastAsia="宋体" w:hAnsi="宋体"/>
                <w:szCs w:val="21"/>
              </w:rPr>
              <w:lastRenderedPageBreak/>
              <w:t>性保障，共同服务于公司长期战略。</w:t>
            </w:r>
          </w:p>
          <w:p w14:paraId="5EC39AD0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（六）未来关注点</w:t>
            </w:r>
          </w:p>
          <w:p w14:paraId="111706B1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1、车载高速线出货量、显示器件业务产能与工艺升级进展</w:t>
            </w:r>
          </w:p>
          <w:p w14:paraId="3B6861B5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2、头部客户卫星通信订单收入确认进度</w:t>
            </w:r>
          </w:p>
          <w:p w14:paraId="2E793971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3、SES南美项目落地及后续推广情况</w:t>
            </w:r>
          </w:p>
          <w:p w14:paraId="7B9D71F9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4、FTA收购英国公司后的整合及协同效果</w:t>
            </w:r>
          </w:p>
          <w:p w14:paraId="622A5A10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5、原材料价格、汇率波动对成本的影响</w:t>
            </w:r>
          </w:p>
          <w:p w14:paraId="0DCDF45A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6、再融资申报、审核进展</w:t>
            </w:r>
          </w:p>
          <w:p w14:paraId="676A097E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bCs/>
                <w:szCs w:val="21"/>
              </w:rPr>
            </w:pPr>
          </w:p>
          <w:p w14:paraId="3123E0AF" w14:textId="229C7610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bCs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bCs/>
                <w:szCs w:val="21"/>
              </w:rPr>
              <w:t>二、互动交流环节</w:t>
            </w:r>
          </w:p>
          <w:p w14:paraId="486F780F" w14:textId="77777777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</w:t>
            </w:r>
            <w:r w:rsidRPr="00D4431E">
              <w:rPr>
                <w:rFonts w:ascii="宋体" w:eastAsia="宋体" w:hAnsi="宋体"/>
                <w:b/>
                <w:szCs w:val="21"/>
              </w:rPr>
              <w:t>1</w:t>
            </w:r>
            <w:r w:rsidRPr="00D4431E">
              <w:rPr>
                <w:rFonts w:ascii="宋体" w:eastAsia="宋体" w:hAnsi="宋体" w:hint="eastAsia"/>
                <w:b/>
                <w:szCs w:val="21"/>
              </w:rPr>
              <w:t>：射频电缆类产品</w:t>
            </w:r>
            <w:r w:rsidRPr="00D4431E">
              <w:rPr>
                <w:rFonts w:ascii="宋体" w:eastAsia="宋体" w:hAnsi="宋体"/>
                <w:b/>
                <w:bCs/>
                <w:szCs w:val="21"/>
              </w:rPr>
              <w:t>2026年中报毛利率仅13%，为历史较低水平的原因是什么？后续原材料价格上涨能否传导至客户端？</w:t>
            </w:r>
          </w:p>
          <w:p w14:paraId="775DB329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</w:t>
            </w:r>
            <w:r w:rsidRPr="00D4431E">
              <w:rPr>
                <w:rFonts w:ascii="宋体" w:eastAsia="宋体" w:hAnsi="宋体"/>
                <w:szCs w:val="21"/>
              </w:rPr>
              <w:t>2026年上半年，公司射频电缆类产品实现营业收入22,294.92万元，毛利率13.13%。主要原因是该类产品主要原材料为铜导体、PE、镀锡铜丝、铜包钢等，上半年上述原材料平均采购价格普遍上行（其中铜约上涨22.63%、PE约上涨4.93%、镀锡铜丝约上涨28.30%、铜包钢约上涨11.98%、铝镁丝约上涨13.49%），成本端压力明显；销售端价格依据市场价格与客户协商确定，受原材料价格上行影响，部分产品价格向下游客户传导存在一定滞后性。报告期内，公司通过优化采购策略和排产计划、动态调整产品报价、提高高附加值产品占比等方式积极应对成本压力。后续原材料价格能否进一步向客户端传导，取决于市场供需变化及与客户协商情况</w:t>
            </w:r>
            <w:r w:rsidRPr="00D4431E">
              <w:rPr>
                <w:rFonts w:ascii="宋体" w:eastAsia="宋体" w:hAnsi="宋体" w:hint="eastAsia"/>
                <w:szCs w:val="21"/>
              </w:rPr>
              <w:t>。</w:t>
            </w:r>
          </w:p>
          <w:p w14:paraId="62A5DB68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</w:p>
          <w:p w14:paraId="60AF1252" w14:textId="69FB2420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问题2：高速线缆业务的经营情况及客户拓展情况如何？</w:t>
            </w:r>
          </w:p>
          <w:p w14:paraId="375EB951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答复：受益于</w:t>
            </w:r>
            <w:r w:rsidRPr="00D4431E">
              <w:rPr>
                <w:rFonts w:ascii="宋体" w:eastAsia="宋体" w:hAnsi="宋体"/>
                <w:szCs w:val="21"/>
              </w:rPr>
              <w:t>AI</w:t>
            </w:r>
            <w:r w:rsidRPr="00D4431E">
              <w:rPr>
                <w:rFonts w:ascii="宋体" w:eastAsia="宋体" w:hAnsi="宋体" w:hint="eastAsia"/>
                <w:szCs w:val="21"/>
              </w:rPr>
              <w:t>算力基础设施建设带动的高性能数据线缆需求增长，公司积极拓展优质客户资源，本期新增客户</w:t>
            </w:r>
            <w:r w:rsidRPr="00D4431E">
              <w:rPr>
                <w:rFonts w:ascii="宋体" w:eastAsia="宋体" w:hAnsi="宋体"/>
                <w:szCs w:val="21"/>
              </w:rPr>
              <w:t>13</w:t>
            </w:r>
            <w:r w:rsidRPr="00D4431E">
              <w:rPr>
                <w:rFonts w:ascii="宋体" w:eastAsia="宋体" w:hAnsi="宋体" w:hint="eastAsia"/>
                <w:szCs w:val="21"/>
              </w:rPr>
              <w:t>家，报告期内该业务实现营业收入</w:t>
            </w:r>
            <w:r w:rsidRPr="00D4431E">
              <w:rPr>
                <w:rFonts w:ascii="宋体" w:eastAsia="宋体" w:hAnsi="宋体"/>
                <w:szCs w:val="21"/>
              </w:rPr>
              <w:t>2.06</w:t>
            </w:r>
            <w:r w:rsidRPr="00D4431E">
              <w:rPr>
                <w:rFonts w:ascii="宋体" w:eastAsia="宋体" w:hAnsi="宋体" w:hint="eastAsia"/>
                <w:szCs w:val="21"/>
              </w:rPr>
              <w:t>亿元。具体客户名称涉及商业保密义务，敬请关注公司法定披露文件。</w:t>
            </w:r>
          </w:p>
          <w:p w14:paraId="794266C6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</w:p>
          <w:p w14:paraId="47F836FC" w14:textId="0FDF0152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问题3：显示器件业务毛利率下降的原因是什么？</w:t>
            </w:r>
          </w:p>
          <w:p w14:paraId="1862443B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</w:t>
            </w:r>
            <w:r w:rsidRPr="00D4431E">
              <w:rPr>
                <w:rFonts w:ascii="宋体" w:eastAsia="宋体" w:hAnsi="宋体"/>
                <w:szCs w:val="21"/>
              </w:rPr>
              <w:t>2026年上半年，公司显示器件业务实现营业收入24,029.93万元，毛利率17.63%。毛利率下降的主要原因：一是报告期内公司完成对广东弘电视讯科技有限公司51%股权的收购并纳入合并报表范围，新增中小尺寸TFT-LCD业务，并表后贡献营业收入11,187.18万元；二是原有显示器件业务面临量价承压。公司正持续推进小尺寸显示器件产能和工艺升级，当前毛利率水平主要反映并表整合期的阶段性特征，随着产能及工艺升级推进，经营质量有望逐步改善</w:t>
            </w:r>
            <w:r w:rsidRPr="00D4431E">
              <w:rPr>
                <w:rFonts w:ascii="宋体" w:eastAsia="宋体" w:hAnsi="宋体" w:hint="eastAsia"/>
                <w:szCs w:val="21"/>
              </w:rPr>
              <w:t>。</w:t>
            </w:r>
          </w:p>
          <w:p w14:paraId="243CB415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</w:p>
          <w:p w14:paraId="0CE04761" w14:textId="036DBEC8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问题4：卫星通信业务的收入规模、盈利情况及订单执行进展如何？</w:t>
            </w:r>
          </w:p>
          <w:p w14:paraId="131F13B5" w14:textId="7CB1702B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答复：上半年卫星通信接收终端及解决方案相关业务实现营业收入</w:t>
            </w:r>
            <w:r w:rsidRPr="00D4431E">
              <w:rPr>
                <w:rFonts w:ascii="宋体" w:eastAsia="宋体" w:hAnsi="宋体"/>
                <w:szCs w:val="21"/>
              </w:rPr>
              <w:t>11,189.05</w:t>
            </w:r>
            <w:r w:rsidRPr="00D4431E">
              <w:rPr>
                <w:rFonts w:ascii="宋体" w:eastAsia="宋体" w:hAnsi="宋体" w:hint="eastAsia"/>
                <w:szCs w:val="21"/>
              </w:rPr>
              <w:t>万元，占营业收入约</w:t>
            </w:r>
            <w:r w:rsidRPr="00D4431E">
              <w:rPr>
                <w:rFonts w:ascii="宋体" w:eastAsia="宋体" w:hAnsi="宋体"/>
                <w:szCs w:val="21"/>
              </w:rPr>
              <w:t>18%</w:t>
            </w:r>
            <w:r w:rsidRPr="00D4431E">
              <w:rPr>
                <w:rFonts w:ascii="宋体" w:eastAsia="宋体" w:hAnsi="宋体" w:hint="eastAsia"/>
                <w:szCs w:val="21"/>
              </w:rPr>
              <w:t>，较上年同期增长约</w:t>
            </w:r>
            <w:r w:rsidRPr="00D4431E">
              <w:rPr>
                <w:rFonts w:ascii="宋体" w:eastAsia="宋体" w:hAnsi="宋体"/>
                <w:szCs w:val="21"/>
              </w:rPr>
              <w:t>110%</w:t>
            </w:r>
            <w:r w:rsidRPr="00D4431E">
              <w:rPr>
                <w:rFonts w:ascii="宋体" w:eastAsia="宋体" w:hAnsi="宋体" w:hint="eastAsia"/>
                <w:szCs w:val="21"/>
              </w:rPr>
              <w:t>，其中卫星通信接收终端及组件</w:t>
            </w:r>
            <w:r w:rsidRPr="00D4431E">
              <w:rPr>
                <w:rFonts w:ascii="宋体" w:eastAsia="宋体" w:hAnsi="宋体"/>
                <w:szCs w:val="21"/>
              </w:rPr>
              <w:t>9,633.69</w:t>
            </w:r>
            <w:r w:rsidRPr="00D4431E">
              <w:rPr>
                <w:rFonts w:ascii="宋体" w:eastAsia="宋体" w:hAnsi="宋体" w:hint="eastAsia"/>
                <w:szCs w:val="21"/>
              </w:rPr>
              <w:t>万元；子公司</w:t>
            </w:r>
            <w:r w:rsidRPr="00D4431E">
              <w:rPr>
                <w:rFonts w:ascii="宋体" w:eastAsia="宋体" w:hAnsi="宋体"/>
                <w:szCs w:val="21"/>
              </w:rPr>
              <w:t>FTA</w:t>
            </w:r>
            <w:r w:rsidRPr="00D4431E">
              <w:rPr>
                <w:rFonts w:ascii="宋体" w:eastAsia="宋体" w:hAnsi="宋体" w:hint="eastAsia"/>
                <w:szCs w:val="21"/>
              </w:rPr>
              <w:t>实现净利润</w:t>
            </w:r>
            <w:r w:rsidRPr="00D4431E">
              <w:rPr>
                <w:rFonts w:ascii="宋体" w:eastAsia="宋体" w:hAnsi="宋体"/>
                <w:szCs w:val="21"/>
              </w:rPr>
              <w:t>1,200.90</w:t>
            </w:r>
            <w:r w:rsidRPr="00D4431E">
              <w:rPr>
                <w:rFonts w:ascii="宋体" w:eastAsia="宋体" w:hAnsi="宋体" w:hint="eastAsia"/>
                <w:szCs w:val="21"/>
              </w:rPr>
              <w:t>万元。订单方面，公司取得</w:t>
            </w:r>
            <w:r w:rsidRPr="00D4431E">
              <w:rPr>
                <w:rFonts w:ascii="宋体" w:eastAsia="宋体" w:hAnsi="宋体"/>
                <w:szCs w:val="21"/>
              </w:rPr>
              <w:t>CANAL+ GROUP</w:t>
            </w:r>
            <w:r w:rsidRPr="00D4431E">
              <w:rPr>
                <w:rFonts w:ascii="宋体" w:eastAsia="宋体" w:hAnsi="宋体" w:hint="eastAsia"/>
                <w:szCs w:val="21"/>
              </w:rPr>
              <w:t>等客户多批订单，报告期内相关订单已完成出货约</w:t>
            </w:r>
            <w:r w:rsidRPr="00D4431E">
              <w:rPr>
                <w:rFonts w:ascii="宋体" w:eastAsia="宋体" w:hAnsi="宋体"/>
                <w:szCs w:val="21"/>
              </w:rPr>
              <w:t>80%</w:t>
            </w:r>
            <w:r w:rsidRPr="00D4431E">
              <w:rPr>
                <w:rFonts w:ascii="宋体" w:eastAsia="宋体" w:hAnsi="宋体" w:hint="eastAsia"/>
                <w:szCs w:val="21"/>
              </w:rPr>
              <w:t>，后续交付接单工作将持续开展；与</w:t>
            </w:r>
            <w:r w:rsidRPr="00D4431E">
              <w:rPr>
                <w:rFonts w:ascii="宋体" w:eastAsia="宋体" w:hAnsi="宋体"/>
                <w:szCs w:val="21"/>
              </w:rPr>
              <w:t>SES</w:t>
            </w:r>
            <w:r w:rsidRPr="00D4431E">
              <w:rPr>
                <w:rFonts w:ascii="宋体" w:eastAsia="宋体" w:hAnsi="宋体" w:hint="eastAsia"/>
                <w:szCs w:val="21"/>
              </w:rPr>
              <w:t>合</w:t>
            </w:r>
            <w:r w:rsidRPr="00D4431E">
              <w:rPr>
                <w:rFonts w:ascii="宋体" w:eastAsia="宋体" w:hAnsi="宋体" w:hint="eastAsia"/>
                <w:szCs w:val="21"/>
              </w:rPr>
              <w:lastRenderedPageBreak/>
              <w:t>作的南美项目按计划有序推进。</w:t>
            </w:r>
            <w:r w:rsidRPr="00D4431E">
              <w:rPr>
                <w:rFonts w:ascii="宋体" w:eastAsia="宋体" w:hAnsi="宋体"/>
                <w:szCs w:val="21"/>
              </w:rPr>
              <w:t>上述经营数据反映出公司卫星通信业务正逐步放量，第二增长曲线的价值正在持续验证之中。</w:t>
            </w:r>
          </w:p>
          <w:p w14:paraId="5D8444BA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</w:p>
          <w:p w14:paraId="2A43B476" w14:textId="47D550A9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问题5：子公司FTA与欧洲卫星运营商SES合作的项目具体是什么业务？何时落地？</w:t>
            </w:r>
          </w:p>
          <w:p w14:paraId="026EE511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b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</w:t>
            </w:r>
            <w:r w:rsidRPr="00D4431E">
              <w:rPr>
                <w:rFonts w:ascii="宋体" w:eastAsia="宋体" w:hAnsi="宋体"/>
                <w:szCs w:val="21"/>
              </w:rPr>
              <w:t>公司子公司FTA基于DVB-NIP技术，为欧洲卫星运营商SES提供卫星互联网终端及</w:t>
            </w:r>
            <w:r w:rsidRPr="00D4431E">
              <w:rPr>
                <w:rFonts w:ascii="宋体" w:eastAsia="宋体" w:hAnsi="宋体" w:hint="eastAsia"/>
                <w:szCs w:val="21"/>
              </w:rPr>
              <w:t>“</w:t>
            </w:r>
            <w:r w:rsidRPr="00D4431E">
              <w:rPr>
                <w:rFonts w:ascii="宋体" w:eastAsia="宋体" w:hAnsi="宋体"/>
                <w:szCs w:val="21"/>
              </w:rPr>
              <w:t>硬件+软件+服务</w:t>
            </w:r>
            <w:r w:rsidRPr="00D4431E">
              <w:rPr>
                <w:rFonts w:ascii="宋体" w:eastAsia="宋体" w:hAnsi="宋体" w:hint="eastAsia"/>
                <w:szCs w:val="21"/>
              </w:rPr>
              <w:t>”</w:t>
            </w:r>
            <w:r w:rsidRPr="00D4431E">
              <w:rPr>
                <w:rFonts w:ascii="宋体" w:eastAsia="宋体" w:hAnsi="宋体"/>
                <w:szCs w:val="21"/>
              </w:rPr>
              <w:t>一体化解决方案，目前相关南美项目正按计划推进定制化开发测试，公司与SES等国际卫星运营商的合作持续深化。该项目是DVB-NIP技术在商业化场景落地的重要实践</w:t>
            </w:r>
            <w:r w:rsidRPr="00D4431E">
              <w:rPr>
                <w:rFonts w:ascii="宋体" w:eastAsia="宋体" w:hAnsi="宋体" w:hint="eastAsia"/>
                <w:szCs w:val="21"/>
              </w:rPr>
              <w:t>，</w:t>
            </w:r>
            <w:r w:rsidRPr="00D4431E">
              <w:rPr>
                <w:rFonts w:ascii="宋体" w:eastAsia="宋体" w:hAnsi="宋体"/>
                <w:szCs w:val="21"/>
              </w:rPr>
              <w:t>相关业务仍处于推进阶段</w:t>
            </w:r>
            <w:r w:rsidRPr="00D4431E">
              <w:rPr>
                <w:rFonts w:ascii="宋体" w:eastAsia="宋体" w:hAnsi="宋体" w:hint="eastAsia"/>
                <w:szCs w:val="21"/>
              </w:rPr>
              <w:t>。</w:t>
            </w:r>
          </w:p>
          <w:p w14:paraId="53234A0C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</w:p>
          <w:p w14:paraId="73567A9D" w14:textId="364D6B89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问题6：收购</w:t>
            </w:r>
            <w:r w:rsidRPr="00D4431E">
              <w:rPr>
                <w:rFonts w:ascii="宋体" w:eastAsia="宋体" w:hAnsi="宋体"/>
                <w:b/>
                <w:szCs w:val="21"/>
              </w:rPr>
              <w:t>Triax UK Limited</w:t>
            </w:r>
            <w:r w:rsidRPr="00D4431E">
              <w:rPr>
                <w:rFonts w:ascii="宋体" w:eastAsia="宋体" w:hAnsi="宋体"/>
                <w:b/>
                <w:bCs/>
                <w:szCs w:val="21"/>
              </w:rPr>
              <w:t>的主要考量是什么？</w:t>
            </w:r>
            <w:r w:rsidRPr="00D4431E">
              <w:rPr>
                <w:rFonts w:ascii="宋体" w:eastAsia="宋体" w:hAnsi="宋体" w:hint="eastAsia"/>
                <w:b/>
                <w:szCs w:val="21"/>
              </w:rPr>
              <w:t>进展情况如何？</w:t>
            </w:r>
          </w:p>
          <w:p w14:paraId="57AAD724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</w:t>
            </w:r>
            <w:r w:rsidRPr="00D4431E">
              <w:rPr>
                <w:rFonts w:ascii="宋体" w:eastAsia="宋体" w:hAnsi="宋体"/>
                <w:szCs w:val="21"/>
              </w:rPr>
              <w:t>收购Triax UK Limited，主要看重其深耕欧洲市场多年，具备成熟的本地化渠道网络、客户资源及交付能力</w:t>
            </w:r>
            <w:r w:rsidRPr="00D4431E">
              <w:rPr>
                <w:rFonts w:ascii="宋体" w:eastAsia="宋体" w:hAnsi="宋体" w:hint="eastAsia"/>
                <w:szCs w:val="21"/>
              </w:rPr>
              <w:t>，能与</w:t>
            </w:r>
            <w:r w:rsidRPr="00D4431E">
              <w:rPr>
                <w:rFonts w:ascii="宋体" w:eastAsia="宋体" w:hAnsi="宋体"/>
                <w:szCs w:val="21"/>
              </w:rPr>
              <w:t>FTA的卫星通信终端及一体化解决方案业务形成协同，有助于增强海外市场拓展能力，进一步拓展欧洲、中东、非洲市场，符合公司国际化战略布局。</w:t>
            </w:r>
            <w:r w:rsidRPr="00D4431E">
              <w:rPr>
                <w:rFonts w:ascii="宋体" w:eastAsia="宋体" w:hAnsi="宋体" w:hint="eastAsia"/>
                <w:szCs w:val="21"/>
              </w:rPr>
              <w:t>相关收购事项已于2026年8月14日完成交割。</w:t>
            </w:r>
          </w:p>
          <w:p w14:paraId="2A419195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</w:p>
          <w:p w14:paraId="519A588C" w14:textId="491503A5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</w:t>
            </w:r>
            <w:r w:rsidR="0044051F">
              <w:rPr>
                <w:rFonts w:ascii="宋体" w:eastAsia="宋体" w:hAnsi="宋体" w:hint="eastAsia"/>
                <w:b/>
                <w:szCs w:val="21"/>
              </w:rPr>
              <w:t>7</w:t>
            </w:r>
            <w:r w:rsidRPr="00D4431E">
              <w:rPr>
                <w:rFonts w:ascii="宋体" w:eastAsia="宋体" w:hAnsi="宋体" w:hint="eastAsia"/>
                <w:b/>
                <w:szCs w:val="21"/>
              </w:rPr>
              <w:t>：公司向特定对象发行股票的进展情况如何？</w:t>
            </w:r>
          </w:p>
          <w:p w14:paraId="2943D46B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答复：公司</w:t>
            </w:r>
            <w:r w:rsidRPr="00D4431E">
              <w:rPr>
                <w:rFonts w:ascii="宋体" w:eastAsia="宋体" w:hAnsi="宋体"/>
                <w:szCs w:val="21"/>
              </w:rPr>
              <w:t>2026</w:t>
            </w:r>
            <w:r w:rsidRPr="00D4431E">
              <w:rPr>
                <w:rFonts w:ascii="宋体" w:eastAsia="宋体" w:hAnsi="宋体" w:hint="eastAsia"/>
                <w:szCs w:val="21"/>
              </w:rPr>
              <w:t>年度向特定对象发行</w:t>
            </w:r>
            <w:r w:rsidRPr="00D4431E">
              <w:rPr>
                <w:rFonts w:ascii="宋体" w:eastAsia="宋体" w:hAnsi="宋体"/>
                <w:szCs w:val="21"/>
              </w:rPr>
              <w:t>A</w:t>
            </w:r>
            <w:r w:rsidRPr="00D4431E">
              <w:rPr>
                <w:rFonts w:ascii="宋体" w:eastAsia="宋体" w:hAnsi="宋体" w:hint="eastAsia"/>
                <w:szCs w:val="21"/>
              </w:rPr>
              <w:t>股股票方案已于</w:t>
            </w:r>
            <w:r w:rsidRPr="00D4431E">
              <w:rPr>
                <w:rFonts w:ascii="宋体" w:eastAsia="宋体" w:hAnsi="宋体"/>
                <w:szCs w:val="21"/>
              </w:rPr>
              <w:t>2026</w:t>
            </w:r>
            <w:r w:rsidRPr="00D4431E">
              <w:rPr>
                <w:rFonts w:ascii="宋体" w:eastAsia="宋体" w:hAnsi="宋体" w:hint="eastAsia"/>
                <w:szCs w:val="21"/>
              </w:rPr>
              <w:t>年</w:t>
            </w:r>
            <w:r w:rsidRPr="00D4431E">
              <w:rPr>
                <w:rFonts w:ascii="宋体" w:eastAsia="宋体" w:hAnsi="宋体"/>
                <w:szCs w:val="21"/>
              </w:rPr>
              <w:t>6</w:t>
            </w:r>
            <w:r w:rsidRPr="00D4431E">
              <w:rPr>
                <w:rFonts w:ascii="宋体" w:eastAsia="宋体" w:hAnsi="宋体" w:hint="eastAsia"/>
                <w:szCs w:val="21"/>
              </w:rPr>
              <w:t>月</w:t>
            </w:r>
            <w:r w:rsidRPr="00D4431E">
              <w:rPr>
                <w:rFonts w:ascii="宋体" w:eastAsia="宋体" w:hAnsi="宋体"/>
                <w:szCs w:val="21"/>
              </w:rPr>
              <w:t>22</w:t>
            </w:r>
            <w:r w:rsidRPr="00D4431E">
              <w:rPr>
                <w:rFonts w:ascii="宋体" w:eastAsia="宋体" w:hAnsi="宋体" w:hint="eastAsia"/>
                <w:szCs w:val="21"/>
              </w:rPr>
              <w:t>日经公司临时股东会审议通过，拟募集资金总额不超过</w:t>
            </w:r>
            <w:r w:rsidRPr="00D4431E">
              <w:rPr>
                <w:rFonts w:ascii="宋体" w:eastAsia="宋体" w:hAnsi="宋体"/>
                <w:szCs w:val="21"/>
              </w:rPr>
              <w:t>10.76</w:t>
            </w:r>
            <w:r w:rsidRPr="00D4431E">
              <w:rPr>
                <w:rFonts w:ascii="宋体" w:eastAsia="宋体" w:hAnsi="宋体" w:hint="eastAsia"/>
                <w:szCs w:val="21"/>
              </w:rPr>
              <w:t>亿元，用于新型智慧显示器件智能制造项目、卫星互联网通信终端智能制造项目建设及补充流动资金。目前发行申报准备工作正在推进中，后续需经上交所审核并经证监会同意注册，具体进展请以公司公告为准。</w:t>
            </w:r>
          </w:p>
          <w:p w14:paraId="6405AAF1" w14:textId="77777777" w:rsid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b/>
                <w:szCs w:val="21"/>
              </w:rPr>
            </w:pPr>
          </w:p>
          <w:p w14:paraId="2A38D361" w14:textId="2B5143BD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</w:t>
            </w:r>
            <w:r w:rsidR="0044051F">
              <w:rPr>
                <w:rFonts w:ascii="宋体" w:eastAsia="宋体" w:hAnsi="宋体" w:hint="eastAsia"/>
                <w:b/>
                <w:szCs w:val="21"/>
              </w:rPr>
              <w:t>8</w:t>
            </w:r>
            <w:r w:rsidRPr="00D4431E">
              <w:rPr>
                <w:rFonts w:ascii="宋体" w:eastAsia="宋体" w:hAnsi="宋体" w:hint="eastAsia"/>
                <w:b/>
                <w:szCs w:val="21"/>
              </w:rPr>
              <w:t>：汇率波动对公司的影响如何？公司采取了哪些应对措施？</w:t>
            </w:r>
          </w:p>
          <w:p w14:paraId="61120727" w14:textId="77777777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</w:t>
            </w:r>
            <w:r w:rsidRPr="00D4431E">
              <w:rPr>
                <w:rFonts w:ascii="宋体" w:eastAsia="宋体" w:hAnsi="宋体"/>
                <w:szCs w:val="21"/>
              </w:rPr>
              <w:t>公司部分业务涉及海外市场，以外币结算的销售收入及外币资产、负债在折算人民币时，会受汇率波动影响产生一定汇兑损益，对公司财务费用带来阶段性影响。公司持续关注汇率走势，主要采取以下应对措施：一是通过优化采购与销售结算安排，推进外币收支自然对冲；二是根据实际经营需要和外币敞口情况，审慎评估运用外汇套期保值等金融工具管理汇率风险；三是加强外汇风险敞口的动态监测与管理。</w:t>
            </w:r>
          </w:p>
          <w:p w14:paraId="0BA957FC" w14:textId="109D1CCF" w:rsidR="00D4431E" w:rsidRPr="00D4431E" w:rsidRDefault="00D4431E" w:rsidP="00D4431E">
            <w:pPr>
              <w:ind w:firstLineChars="200" w:firstLine="422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b/>
                <w:szCs w:val="21"/>
              </w:rPr>
              <w:t>问题</w:t>
            </w:r>
            <w:r w:rsidR="0044051F">
              <w:rPr>
                <w:rFonts w:ascii="宋体" w:eastAsia="宋体" w:hAnsi="宋体" w:hint="eastAsia"/>
                <w:b/>
                <w:szCs w:val="21"/>
              </w:rPr>
              <w:t>9</w:t>
            </w:r>
            <w:r w:rsidRPr="00D4431E">
              <w:rPr>
                <w:rFonts w:ascii="宋体" w:eastAsia="宋体" w:hAnsi="宋体" w:hint="eastAsia"/>
                <w:b/>
                <w:szCs w:val="21"/>
              </w:rPr>
              <w:t>：公司对</w:t>
            </w:r>
            <w:r w:rsidRPr="00D4431E">
              <w:rPr>
                <w:rFonts w:ascii="宋体" w:eastAsia="宋体" w:hAnsi="宋体"/>
                <w:b/>
                <w:szCs w:val="21"/>
              </w:rPr>
              <w:t>2026</w:t>
            </w:r>
            <w:r w:rsidRPr="00D4431E">
              <w:rPr>
                <w:rFonts w:ascii="宋体" w:eastAsia="宋体" w:hAnsi="宋体" w:hint="eastAsia"/>
                <w:b/>
                <w:szCs w:val="21"/>
              </w:rPr>
              <w:t>年下半年经营业绩有何展望？</w:t>
            </w:r>
          </w:p>
          <w:p w14:paraId="127972D7" w14:textId="01931BFC" w:rsidR="00D4431E" w:rsidRPr="00D4431E" w:rsidRDefault="00D4431E" w:rsidP="00D4431E">
            <w:pPr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D4431E">
              <w:rPr>
                <w:rFonts w:ascii="宋体" w:eastAsia="宋体" w:hAnsi="宋体" w:hint="eastAsia"/>
                <w:szCs w:val="21"/>
              </w:rPr>
              <w:t>答复：</w:t>
            </w:r>
            <w:r w:rsidRPr="00D4431E">
              <w:rPr>
                <w:rFonts w:ascii="宋体" w:eastAsia="宋体" w:hAnsi="宋体"/>
                <w:szCs w:val="21"/>
              </w:rPr>
              <w:t>按照信息披露相关要求，公司不对外提供业绩预测。当前公司各业务保持较好发展态势，后续将围绕高速线缆、显示器件、卫星通信三块业务的订单交付与成本管控扎实组织生产经营工作，努力提升经营质量。相关经营情况请以公司披露的定期报告为准。</w:t>
            </w:r>
          </w:p>
        </w:tc>
      </w:tr>
      <w:tr w:rsidR="00FF50DD" w14:paraId="4D9CE45C" w14:textId="77777777" w:rsidTr="00852582">
        <w:tc>
          <w:tcPr>
            <w:tcW w:w="1809" w:type="dxa"/>
            <w:vAlign w:val="center"/>
          </w:tcPr>
          <w:p w14:paraId="25FD99CD" w14:textId="25CAF798" w:rsidR="00FF50DD" w:rsidRPr="002734A3" w:rsidRDefault="00FF50DD" w:rsidP="00FF50DD">
            <w:pPr>
              <w:ind w:right="420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是否涉及应当披露重大信息的说明</w:t>
            </w:r>
          </w:p>
        </w:tc>
        <w:tc>
          <w:tcPr>
            <w:tcW w:w="6713" w:type="dxa"/>
            <w:vAlign w:val="center"/>
          </w:tcPr>
          <w:p w14:paraId="3DCF1D1E" w14:textId="0E0DC397" w:rsidR="00FF50DD" w:rsidRPr="002209CE" w:rsidRDefault="00FF50DD" w:rsidP="00FF50DD">
            <w:pPr>
              <w:ind w:right="420"/>
              <w:jc w:val="left"/>
              <w:rPr>
                <w:rFonts w:asciiTheme="minorEastAsia" w:hAnsiTheme="minorEastAsia" w:hint="eastAsia"/>
                <w:bCs/>
                <w:szCs w:val="21"/>
              </w:rPr>
            </w:pPr>
            <w:r w:rsidRPr="002209CE">
              <w:rPr>
                <w:rFonts w:asciiTheme="minorEastAsia" w:hAnsiTheme="minorEastAsia" w:hint="eastAsia"/>
                <w:bCs/>
                <w:szCs w:val="21"/>
              </w:rPr>
              <w:t>不涉及</w:t>
            </w:r>
          </w:p>
        </w:tc>
      </w:tr>
      <w:tr w:rsidR="002209CE" w14:paraId="6A9A77A4" w14:textId="77777777" w:rsidTr="00852582">
        <w:tc>
          <w:tcPr>
            <w:tcW w:w="1809" w:type="dxa"/>
            <w:vAlign w:val="center"/>
          </w:tcPr>
          <w:p w14:paraId="225F2E43" w14:textId="0FD73693" w:rsidR="002209CE" w:rsidRDefault="002209CE" w:rsidP="00FF50DD">
            <w:pPr>
              <w:ind w:right="420"/>
              <w:rPr>
                <w:b/>
              </w:rPr>
            </w:pPr>
            <w:r>
              <w:rPr>
                <w:rFonts w:hint="eastAsia"/>
                <w:b/>
              </w:rPr>
              <w:t>附件清单</w:t>
            </w:r>
          </w:p>
        </w:tc>
        <w:tc>
          <w:tcPr>
            <w:tcW w:w="6713" w:type="dxa"/>
          </w:tcPr>
          <w:p w14:paraId="387E9157" w14:textId="4E556AB6" w:rsidR="002209CE" w:rsidRPr="002209CE" w:rsidRDefault="002209CE" w:rsidP="00FF50DD">
            <w:pPr>
              <w:ind w:right="420"/>
              <w:jc w:val="left"/>
              <w:rPr>
                <w:rFonts w:asciiTheme="minorEastAsia" w:hAnsiTheme="minorEastAsia" w:hint="eastAsia"/>
                <w:bCs/>
                <w:szCs w:val="21"/>
              </w:rPr>
            </w:pPr>
            <w:r w:rsidRPr="002209CE">
              <w:rPr>
                <w:rFonts w:asciiTheme="minorEastAsia" w:hAnsiTheme="minorEastAsia" w:hint="eastAsia"/>
                <w:bCs/>
                <w:szCs w:val="21"/>
              </w:rPr>
              <w:t>无</w:t>
            </w:r>
          </w:p>
        </w:tc>
      </w:tr>
    </w:tbl>
    <w:p w14:paraId="16F17CCF" w14:textId="77777777" w:rsidR="00EF2475" w:rsidRDefault="00EF2475" w:rsidP="00EF2475">
      <w:pPr>
        <w:ind w:right="420"/>
        <w:jc w:val="left"/>
      </w:pPr>
    </w:p>
    <w:sectPr w:rsidR="00EF247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CA939" w14:textId="77777777" w:rsidR="00EE7830" w:rsidRDefault="00EE7830" w:rsidP="00FC3E86">
      <w:r>
        <w:separator/>
      </w:r>
    </w:p>
  </w:endnote>
  <w:endnote w:type="continuationSeparator" w:id="0">
    <w:p w14:paraId="36AF9A79" w14:textId="77777777" w:rsidR="00EE7830" w:rsidRDefault="00EE7830" w:rsidP="00FC3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0453227"/>
      <w:docPartObj>
        <w:docPartGallery w:val="Page Numbers (Bottom of Page)"/>
        <w:docPartUnique/>
      </w:docPartObj>
    </w:sdtPr>
    <w:sdtEndPr/>
    <w:sdtContent>
      <w:p w14:paraId="06CDD8FA" w14:textId="77777777" w:rsidR="00FC3E86" w:rsidRDefault="00FC3E8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615" w:rsidRPr="00576615">
          <w:rPr>
            <w:noProof/>
            <w:lang w:val="zh-CN"/>
          </w:rPr>
          <w:t>5</w:t>
        </w:r>
        <w:r>
          <w:fldChar w:fldCharType="end"/>
        </w:r>
      </w:p>
    </w:sdtContent>
  </w:sdt>
  <w:p w14:paraId="2209B1E2" w14:textId="77777777" w:rsidR="00FC3E86" w:rsidRDefault="00FC3E8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F4363" w14:textId="77777777" w:rsidR="00EE7830" w:rsidRDefault="00EE7830" w:rsidP="00FC3E86">
      <w:r>
        <w:separator/>
      </w:r>
    </w:p>
  </w:footnote>
  <w:footnote w:type="continuationSeparator" w:id="0">
    <w:p w14:paraId="3ED0E2B4" w14:textId="77777777" w:rsidR="00EE7830" w:rsidRDefault="00EE7830" w:rsidP="00FC3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449CD"/>
    <w:multiLevelType w:val="hybridMultilevel"/>
    <w:tmpl w:val="E2EAF060"/>
    <w:lvl w:ilvl="0" w:tplc="0DF025FE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071B9B"/>
    <w:multiLevelType w:val="hybridMultilevel"/>
    <w:tmpl w:val="6CD48816"/>
    <w:lvl w:ilvl="0" w:tplc="7DA831B6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C0D706F"/>
    <w:multiLevelType w:val="hybridMultilevel"/>
    <w:tmpl w:val="57469F3A"/>
    <w:lvl w:ilvl="0" w:tplc="349A88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74830168">
    <w:abstractNumId w:val="1"/>
  </w:num>
  <w:num w:numId="2" w16cid:durableId="572400137">
    <w:abstractNumId w:val="2"/>
  </w:num>
  <w:num w:numId="3" w16cid:durableId="112272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2475"/>
    <w:rsid w:val="00004F4F"/>
    <w:rsid w:val="00017B83"/>
    <w:rsid w:val="00046892"/>
    <w:rsid w:val="00077216"/>
    <w:rsid w:val="000F7C4D"/>
    <w:rsid w:val="00106DFF"/>
    <w:rsid w:val="00127FDA"/>
    <w:rsid w:val="00165E90"/>
    <w:rsid w:val="002209CE"/>
    <w:rsid w:val="002734A3"/>
    <w:rsid w:val="002A112F"/>
    <w:rsid w:val="002D4C4E"/>
    <w:rsid w:val="002D7350"/>
    <w:rsid w:val="00307628"/>
    <w:rsid w:val="00357728"/>
    <w:rsid w:val="0039078D"/>
    <w:rsid w:val="003E15F7"/>
    <w:rsid w:val="003E2328"/>
    <w:rsid w:val="00411CED"/>
    <w:rsid w:val="004271BD"/>
    <w:rsid w:val="0044051F"/>
    <w:rsid w:val="00455E40"/>
    <w:rsid w:val="004A0DCB"/>
    <w:rsid w:val="004C0E5E"/>
    <w:rsid w:val="00522CEA"/>
    <w:rsid w:val="00576615"/>
    <w:rsid w:val="005B0CB3"/>
    <w:rsid w:val="005B3E07"/>
    <w:rsid w:val="005C1775"/>
    <w:rsid w:val="005F5508"/>
    <w:rsid w:val="00626218"/>
    <w:rsid w:val="00684697"/>
    <w:rsid w:val="00710A94"/>
    <w:rsid w:val="007425AE"/>
    <w:rsid w:val="00794DD8"/>
    <w:rsid w:val="007C65CB"/>
    <w:rsid w:val="00843907"/>
    <w:rsid w:val="00852582"/>
    <w:rsid w:val="008825C0"/>
    <w:rsid w:val="008D2CB9"/>
    <w:rsid w:val="008D691E"/>
    <w:rsid w:val="00931230"/>
    <w:rsid w:val="0093464E"/>
    <w:rsid w:val="009433F5"/>
    <w:rsid w:val="00950993"/>
    <w:rsid w:val="009B100C"/>
    <w:rsid w:val="009D2503"/>
    <w:rsid w:val="009D7D42"/>
    <w:rsid w:val="00A5791A"/>
    <w:rsid w:val="00A824F4"/>
    <w:rsid w:val="00AC6934"/>
    <w:rsid w:val="00B0202E"/>
    <w:rsid w:val="00C814D7"/>
    <w:rsid w:val="00CB64C3"/>
    <w:rsid w:val="00CD6DBC"/>
    <w:rsid w:val="00CD75C7"/>
    <w:rsid w:val="00D356D9"/>
    <w:rsid w:val="00D4431E"/>
    <w:rsid w:val="00D60A81"/>
    <w:rsid w:val="00D615B0"/>
    <w:rsid w:val="00DE152F"/>
    <w:rsid w:val="00DE54F0"/>
    <w:rsid w:val="00DF2825"/>
    <w:rsid w:val="00DF32C1"/>
    <w:rsid w:val="00E305CC"/>
    <w:rsid w:val="00E84629"/>
    <w:rsid w:val="00EB6B33"/>
    <w:rsid w:val="00EC7282"/>
    <w:rsid w:val="00EE3377"/>
    <w:rsid w:val="00EE7830"/>
    <w:rsid w:val="00EF2475"/>
    <w:rsid w:val="00F20185"/>
    <w:rsid w:val="00F3254F"/>
    <w:rsid w:val="00FC3E86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3CAD5F7F"/>
  <w15:docId w15:val="{65251413-75C5-4F17-9274-D16B9B44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2475"/>
    <w:pPr>
      <w:ind w:firstLineChars="200" w:firstLine="420"/>
    </w:pPr>
  </w:style>
  <w:style w:type="paragraph" w:styleId="a5">
    <w:name w:val="Balloon Text"/>
    <w:basedOn w:val="a"/>
    <w:link w:val="a6"/>
    <w:uiPriority w:val="99"/>
    <w:semiHidden/>
    <w:unhideWhenUsed/>
    <w:rsid w:val="004C0E5E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4C0E5E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C3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C3E86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C3E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C3E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2015</Words>
  <Characters>2258</Characters>
  <Application>Microsoft Office Word</Application>
  <DocSecurity>0</DocSecurity>
  <Lines>98</Lines>
  <Paragraphs>77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吴lily</dc:creator>
  <cp:lastModifiedBy>gjl</cp:lastModifiedBy>
  <cp:revision>4</cp:revision>
  <cp:lastPrinted>2016-02-23T02:52:00Z</cp:lastPrinted>
  <dcterms:created xsi:type="dcterms:W3CDTF">2026-09-15T02:05:00Z</dcterms:created>
  <dcterms:modified xsi:type="dcterms:W3CDTF">2026-09-15T03:11:00Z</dcterms:modified>
</cp:coreProperties>
</file>