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3926D1" w14:textId="12D578B3" w:rsidR="00A420A7" w:rsidRDefault="0002659A">
      <w:pPr>
        <w:jc w:val="left"/>
        <w:rPr>
          <w:b/>
          <w:bCs/>
          <w:sz w:val="28"/>
          <w:szCs w:val="28"/>
        </w:rPr>
      </w:pPr>
      <w:r>
        <w:rPr>
          <w:rFonts w:hint="eastAsia"/>
          <w:b/>
          <w:bCs/>
          <w:szCs w:val="24"/>
        </w:rPr>
        <w:t>证券简称：</w:t>
      </w:r>
      <w:r w:rsidR="00557778">
        <w:rPr>
          <w:rFonts w:hint="eastAsia"/>
          <w:b/>
          <w:bCs/>
          <w:szCs w:val="24"/>
        </w:rPr>
        <w:t>常润股份</w:t>
      </w:r>
      <w:r>
        <w:rPr>
          <w:rFonts w:hint="eastAsia"/>
          <w:b/>
          <w:bCs/>
          <w:szCs w:val="24"/>
        </w:rPr>
        <w:t xml:space="preserve"> </w:t>
      </w:r>
      <w:r>
        <w:rPr>
          <w:b/>
          <w:bCs/>
          <w:szCs w:val="24"/>
        </w:rPr>
        <w:t xml:space="preserve">                 </w:t>
      </w:r>
      <w:r w:rsidR="00557778">
        <w:rPr>
          <w:rFonts w:hint="eastAsia"/>
          <w:b/>
          <w:bCs/>
          <w:szCs w:val="24"/>
        </w:rPr>
        <w:t xml:space="preserve"> </w:t>
      </w:r>
      <w:r w:rsidR="0025162C">
        <w:rPr>
          <w:rFonts w:hint="eastAsia"/>
          <w:b/>
          <w:bCs/>
          <w:szCs w:val="24"/>
        </w:rPr>
        <w:t xml:space="preserve">   </w:t>
      </w:r>
      <w:r w:rsidR="00557778">
        <w:rPr>
          <w:rFonts w:hint="eastAsia"/>
          <w:b/>
          <w:bCs/>
          <w:szCs w:val="24"/>
        </w:rPr>
        <w:t xml:space="preserve">           </w:t>
      </w:r>
      <w:r>
        <w:rPr>
          <w:rFonts w:hint="eastAsia"/>
          <w:b/>
          <w:bCs/>
          <w:szCs w:val="24"/>
        </w:rPr>
        <w:t>证券代码：</w:t>
      </w:r>
      <w:r w:rsidR="00557778">
        <w:rPr>
          <w:b/>
          <w:bCs/>
          <w:szCs w:val="24"/>
        </w:rPr>
        <w:t>603201</w:t>
      </w:r>
    </w:p>
    <w:p w14:paraId="5592E250" w14:textId="77777777" w:rsidR="00A420A7" w:rsidRDefault="00557778">
      <w:pPr>
        <w:jc w:val="center"/>
        <w:rPr>
          <w:b/>
          <w:bCs/>
          <w:sz w:val="28"/>
          <w:szCs w:val="28"/>
        </w:rPr>
      </w:pPr>
      <w:r>
        <w:rPr>
          <w:rFonts w:hint="eastAsia"/>
          <w:b/>
          <w:bCs/>
          <w:sz w:val="28"/>
          <w:szCs w:val="28"/>
        </w:rPr>
        <w:t>常熟通润汽车零部件</w:t>
      </w:r>
      <w:r w:rsidR="0002659A">
        <w:rPr>
          <w:rFonts w:hint="eastAsia"/>
          <w:b/>
          <w:bCs/>
          <w:sz w:val="28"/>
          <w:szCs w:val="28"/>
        </w:rPr>
        <w:t>股份有限公司</w:t>
      </w:r>
    </w:p>
    <w:p w14:paraId="7F00EE5A" w14:textId="77777777" w:rsidR="00A420A7" w:rsidRDefault="0002659A">
      <w:pPr>
        <w:jc w:val="center"/>
        <w:rPr>
          <w:b/>
          <w:bCs/>
          <w:sz w:val="28"/>
          <w:szCs w:val="28"/>
        </w:rPr>
      </w:pPr>
      <w:r>
        <w:rPr>
          <w:rFonts w:hint="eastAsia"/>
          <w:b/>
          <w:bCs/>
          <w:sz w:val="28"/>
          <w:szCs w:val="28"/>
        </w:rPr>
        <w:t>投资者关系活动记录表</w:t>
      </w:r>
    </w:p>
    <w:p w14:paraId="61C4E3FC" w14:textId="2363E65F" w:rsidR="00A420A7" w:rsidRDefault="0002659A">
      <w:pPr>
        <w:ind w:firstLineChars="100" w:firstLine="241"/>
        <w:rPr>
          <w:b/>
          <w:bCs/>
          <w:szCs w:val="24"/>
        </w:rPr>
      </w:pPr>
      <w:r>
        <w:rPr>
          <w:b/>
          <w:bCs/>
          <w:szCs w:val="24"/>
        </w:rPr>
        <w:t xml:space="preserve">         </w:t>
      </w:r>
      <w:r>
        <w:rPr>
          <w:rFonts w:hint="eastAsia"/>
          <w:b/>
          <w:bCs/>
          <w:szCs w:val="24"/>
        </w:rPr>
        <w:t xml:space="preserve">                </w:t>
      </w:r>
      <w:r w:rsidR="00557778">
        <w:rPr>
          <w:rFonts w:hint="eastAsia"/>
          <w:b/>
          <w:bCs/>
          <w:szCs w:val="24"/>
        </w:rPr>
        <w:t xml:space="preserve">                            </w:t>
      </w:r>
      <w:r w:rsidR="00A34579">
        <w:rPr>
          <w:rFonts w:hint="eastAsia"/>
          <w:b/>
          <w:bCs/>
          <w:szCs w:val="24"/>
        </w:rPr>
        <w:t>编号：</w:t>
      </w:r>
      <w:r w:rsidR="00A34579">
        <w:rPr>
          <w:rFonts w:hint="eastAsia"/>
          <w:b/>
          <w:bCs/>
          <w:szCs w:val="24"/>
        </w:rPr>
        <w:t>202</w:t>
      </w:r>
      <w:r w:rsidR="008551B1">
        <w:rPr>
          <w:b/>
          <w:bCs/>
          <w:szCs w:val="24"/>
        </w:rPr>
        <w:t>6</w:t>
      </w:r>
      <w:r w:rsidR="00A34579">
        <w:rPr>
          <w:rFonts w:hint="eastAsia"/>
          <w:b/>
          <w:bCs/>
          <w:szCs w:val="24"/>
        </w:rPr>
        <w:t>-0</w:t>
      </w:r>
      <w:r w:rsidR="006F3AEB">
        <w:rPr>
          <w:rFonts w:hint="eastAsia"/>
          <w:b/>
          <w:bCs/>
          <w:szCs w:val="24"/>
        </w:rPr>
        <w:t>1</w:t>
      </w:r>
      <w:r w:rsidR="004827D4">
        <w:rPr>
          <w:rFonts w:hint="eastAsia"/>
          <w:b/>
          <w:bCs/>
          <w:szCs w:val="24"/>
        </w:rPr>
        <w:t>1</w:t>
      </w:r>
    </w:p>
    <w:tbl>
      <w:tblPr>
        <w:tblStyle w:val="a6"/>
        <w:tblpPr w:leftFromText="180" w:rightFromText="180" w:vertAnchor="text" w:tblpXSpec="center" w:tblpY="1"/>
        <w:tblOverlap w:val="never"/>
        <w:tblW w:w="0" w:type="auto"/>
        <w:tblLook w:val="04A0" w:firstRow="1" w:lastRow="0" w:firstColumn="1" w:lastColumn="0" w:noHBand="0" w:noVBand="1"/>
      </w:tblPr>
      <w:tblGrid>
        <w:gridCol w:w="2405"/>
        <w:gridCol w:w="5891"/>
      </w:tblGrid>
      <w:tr w:rsidR="00A420A7" w14:paraId="16738F06" w14:textId="77777777" w:rsidTr="00BA04C6">
        <w:tc>
          <w:tcPr>
            <w:tcW w:w="2405" w:type="dxa"/>
          </w:tcPr>
          <w:p w14:paraId="596B2CF6" w14:textId="77777777" w:rsidR="00A420A7" w:rsidRDefault="00A420A7" w:rsidP="00BA04C6">
            <w:pPr>
              <w:jc w:val="center"/>
              <w:rPr>
                <w:b/>
                <w:bCs/>
                <w:szCs w:val="24"/>
              </w:rPr>
            </w:pPr>
          </w:p>
          <w:p w14:paraId="7FA8C137" w14:textId="77777777" w:rsidR="00A420A7" w:rsidRDefault="00A420A7" w:rsidP="00BA04C6">
            <w:pPr>
              <w:jc w:val="center"/>
              <w:rPr>
                <w:b/>
                <w:bCs/>
                <w:szCs w:val="24"/>
              </w:rPr>
            </w:pPr>
          </w:p>
          <w:p w14:paraId="080951BF" w14:textId="77777777" w:rsidR="00A420A7" w:rsidRDefault="0002659A" w:rsidP="00BA04C6">
            <w:pPr>
              <w:jc w:val="center"/>
              <w:rPr>
                <w:b/>
                <w:bCs/>
                <w:szCs w:val="24"/>
              </w:rPr>
            </w:pPr>
            <w:r>
              <w:rPr>
                <w:rFonts w:hint="eastAsia"/>
                <w:b/>
                <w:bCs/>
                <w:szCs w:val="24"/>
              </w:rPr>
              <w:t>投资者关系活动</w:t>
            </w:r>
          </w:p>
          <w:p w14:paraId="6891BC1D" w14:textId="77777777" w:rsidR="00A420A7" w:rsidRDefault="0002659A" w:rsidP="00BA04C6">
            <w:pPr>
              <w:jc w:val="center"/>
              <w:rPr>
                <w:b/>
                <w:bCs/>
                <w:szCs w:val="24"/>
              </w:rPr>
            </w:pPr>
            <w:r>
              <w:rPr>
                <w:rFonts w:hint="eastAsia"/>
                <w:b/>
                <w:bCs/>
                <w:szCs w:val="24"/>
              </w:rPr>
              <w:t>类别</w:t>
            </w:r>
          </w:p>
        </w:tc>
        <w:tc>
          <w:tcPr>
            <w:tcW w:w="5891" w:type="dxa"/>
          </w:tcPr>
          <w:p w14:paraId="39EA996D" w14:textId="69D34839" w:rsidR="00A420A7" w:rsidRDefault="004827D4" w:rsidP="00BA04C6">
            <w:pPr>
              <w:spacing w:line="360" w:lineRule="auto"/>
              <w:rPr>
                <w:rFonts w:ascii="宋体" w:hAnsi="宋体"/>
                <w:szCs w:val="24"/>
              </w:rPr>
            </w:pPr>
            <w:r>
              <w:rPr>
                <w:rFonts w:ascii="宋体" w:hAnsi="宋体" w:hint="eastAsia"/>
                <w:szCs w:val="24"/>
              </w:rPr>
              <w:t>□</w:t>
            </w:r>
            <w:r w:rsidR="0002659A">
              <w:rPr>
                <w:rFonts w:ascii="宋体" w:hAnsi="宋体" w:hint="eastAsia"/>
                <w:szCs w:val="24"/>
              </w:rPr>
              <w:t xml:space="preserve">特定对象调研 </w:t>
            </w:r>
            <w:r w:rsidR="0002659A">
              <w:rPr>
                <w:rFonts w:ascii="宋体" w:hAnsi="宋体"/>
                <w:szCs w:val="24"/>
              </w:rPr>
              <w:t xml:space="preserve">   </w:t>
            </w:r>
            <w:r w:rsidR="000D7483">
              <w:rPr>
                <w:rFonts w:ascii="宋体" w:hAnsi="宋体" w:hint="eastAsia"/>
                <w:szCs w:val="24"/>
              </w:rPr>
              <w:t>□</w:t>
            </w:r>
            <w:r w:rsidR="0002659A">
              <w:rPr>
                <w:rFonts w:ascii="宋体" w:hAnsi="宋体" w:hint="eastAsia"/>
                <w:szCs w:val="24"/>
              </w:rPr>
              <w:t>分析师会议</w:t>
            </w:r>
          </w:p>
          <w:p w14:paraId="780CABDB" w14:textId="02508492" w:rsidR="00A420A7" w:rsidRDefault="0002659A" w:rsidP="00BA04C6">
            <w:pPr>
              <w:spacing w:line="360" w:lineRule="auto"/>
              <w:rPr>
                <w:rFonts w:ascii="宋体" w:hAnsi="宋体"/>
                <w:szCs w:val="24"/>
              </w:rPr>
            </w:pPr>
            <w:r>
              <w:rPr>
                <w:rFonts w:ascii="宋体" w:hAnsi="宋体" w:hint="eastAsia"/>
                <w:szCs w:val="24"/>
              </w:rPr>
              <w:t xml:space="preserve">□媒体采访 </w:t>
            </w:r>
            <w:r>
              <w:rPr>
                <w:rFonts w:ascii="宋体" w:hAnsi="宋体"/>
                <w:szCs w:val="24"/>
              </w:rPr>
              <w:t xml:space="preserve">       </w:t>
            </w:r>
            <w:r w:rsidR="004827D4">
              <w:rPr>
                <w:rFonts w:ascii="Segoe UI Symbol" w:hAnsi="Segoe UI Symbol" w:cs="Segoe UI Symbol"/>
                <w:szCs w:val="24"/>
              </w:rPr>
              <w:t>☑</w:t>
            </w:r>
            <w:r>
              <w:rPr>
                <w:rFonts w:ascii="宋体" w:hAnsi="宋体" w:hint="eastAsia"/>
                <w:szCs w:val="24"/>
              </w:rPr>
              <w:t>业绩说明会</w:t>
            </w:r>
          </w:p>
          <w:p w14:paraId="1929F8C8" w14:textId="2DA49CC8" w:rsidR="00A420A7" w:rsidRDefault="0002659A" w:rsidP="00BA04C6">
            <w:pPr>
              <w:spacing w:line="360" w:lineRule="auto"/>
              <w:rPr>
                <w:rFonts w:ascii="宋体" w:hAnsi="宋体"/>
                <w:szCs w:val="24"/>
              </w:rPr>
            </w:pPr>
            <w:r>
              <w:rPr>
                <w:rFonts w:ascii="宋体" w:hAnsi="宋体" w:hint="eastAsia"/>
                <w:szCs w:val="24"/>
              </w:rPr>
              <w:t xml:space="preserve">□新闻发布会 </w:t>
            </w:r>
            <w:r>
              <w:rPr>
                <w:rFonts w:ascii="宋体" w:hAnsi="宋体"/>
                <w:szCs w:val="24"/>
              </w:rPr>
              <w:t xml:space="preserve">     </w:t>
            </w:r>
            <w:r w:rsidR="000D7483">
              <w:rPr>
                <w:rFonts w:ascii="宋体" w:hAnsi="宋体" w:hint="eastAsia"/>
                <w:szCs w:val="24"/>
              </w:rPr>
              <w:t>□</w:t>
            </w:r>
            <w:r>
              <w:rPr>
                <w:rFonts w:ascii="宋体" w:hAnsi="宋体" w:hint="eastAsia"/>
                <w:szCs w:val="24"/>
              </w:rPr>
              <w:t>路演活动</w:t>
            </w:r>
          </w:p>
          <w:p w14:paraId="7A39CCD2" w14:textId="77777777" w:rsidR="00A420A7" w:rsidRDefault="0002659A" w:rsidP="00BA04C6">
            <w:pPr>
              <w:spacing w:line="360" w:lineRule="auto"/>
              <w:rPr>
                <w:szCs w:val="24"/>
              </w:rPr>
            </w:pPr>
            <w:r>
              <w:rPr>
                <w:rFonts w:ascii="宋体" w:hAnsi="宋体" w:hint="eastAsia"/>
                <w:szCs w:val="24"/>
              </w:rPr>
              <w:t>□现场参观□其他（</w:t>
            </w:r>
            <w:r>
              <w:rPr>
                <w:rFonts w:ascii="宋体" w:hAnsi="宋体" w:hint="eastAsia"/>
                <w:szCs w:val="24"/>
                <w:u w:val="thick"/>
              </w:rPr>
              <w:t>请文字说明其他活动内容</w:t>
            </w:r>
            <w:r>
              <w:rPr>
                <w:rFonts w:ascii="宋体" w:hAnsi="宋体" w:hint="eastAsia"/>
                <w:szCs w:val="24"/>
              </w:rPr>
              <w:t>）</w:t>
            </w:r>
          </w:p>
        </w:tc>
      </w:tr>
      <w:tr w:rsidR="00A420A7" w:rsidRPr="00021A5C" w14:paraId="36EA7209" w14:textId="77777777" w:rsidTr="00BA04C6">
        <w:tc>
          <w:tcPr>
            <w:tcW w:w="2405" w:type="dxa"/>
            <w:vAlign w:val="center"/>
          </w:tcPr>
          <w:p w14:paraId="6A42A109" w14:textId="77777777" w:rsidR="00A420A7" w:rsidRDefault="0002659A" w:rsidP="00BA04C6">
            <w:pPr>
              <w:jc w:val="center"/>
              <w:rPr>
                <w:b/>
                <w:bCs/>
                <w:szCs w:val="24"/>
              </w:rPr>
            </w:pPr>
            <w:r>
              <w:rPr>
                <w:rFonts w:hint="eastAsia"/>
                <w:b/>
                <w:bCs/>
                <w:szCs w:val="24"/>
              </w:rPr>
              <w:t>参与单位名称</w:t>
            </w:r>
          </w:p>
          <w:p w14:paraId="1928B787" w14:textId="77777777" w:rsidR="00A420A7" w:rsidRDefault="0002659A" w:rsidP="00BA04C6">
            <w:pPr>
              <w:jc w:val="center"/>
              <w:rPr>
                <w:b/>
                <w:bCs/>
                <w:szCs w:val="24"/>
              </w:rPr>
            </w:pPr>
            <w:r>
              <w:rPr>
                <w:rFonts w:hint="eastAsia"/>
                <w:b/>
                <w:bCs/>
                <w:szCs w:val="24"/>
              </w:rPr>
              <w:t>及人员姓名</w:t>
            </w:r>
          </w:p>
        </w:tc>
        <w:tc>
          <w:tcPr>
            <w:tcW w:w="5891" w:type="dxa"/>
            <w:vAlign w:val="center"/>
          </w:tcPr>
          <w:p w14:paraId="4A15870A" w14:textId="77FBD108" w:rsidR="00A420A7" w:rsidRPr="00A7435B" w:rsidRDefault="004827D4" w:rsidP="00E17038">
            <w:pPr>
              <w:spacing w:line="360" w:lineRule="auto"/>
              <w:ind w:firstLineChars="200" w:firstLine="480"/>
              <w:jc w:val="center"/>
              <w:rPr>
                <w:szCs w:val="24"/>
              </w:rPr>
            </w:pPr>
            <w:r>
              <w:rPr>
                <w:rFonts w:cs="Times New Roman"/>
              </w:rPr>
              <w:t>2026</w:t>
            </w:r>
            <w:r>
              <w:rPr>
                <w:rFonts w:cs="Times New Roman" w:hint="eastAsia"/>
              </w:rPr>
              <w:t>年半年度</w:t>
            </w:r>
            <w:r>
              <w:rPr>
                <w:rFonts w:hint="eastAsia"/>
              </w:rPr>
              <w:t>说明会采用上海证券报•中国证券网网络互动方式进行，面向全体投资者</w:t>
            </w:r>
          </w:p>
        </w:tc>
      </w:tr>
      <w:tr w:rsidR="00A420A7" w14:paraId="57EF6EAA" w14:textId="77777777" w:rsidTr="00BA04C6">
        <w:tc>
          <w:tcPr>
            <w:tcW w:w="2405" w:type="dxa"/>
            <w:vAlign w:val="center"/>
          </w:tcPr>
          <w:p w14:paraId="5B259038" w14:textId="77777777" w:rsidR="00A420A7" w:rsidRDefault="0002659A" w:rsidP="00BA04C6">
            <w:pPr>
              <w:jc w:val="center"/>
              <w:rPr>
                <w:b/>
                <w:bCs/>
                <w:szCs w:val="24"/>
              </w:rPr>
            </w:pPr>
            <w:r>
              <w:rPr>
                <w:rFonts w:hint="eastAsia"/>
                <w:b/>
                <w:bCs/>
                <w:szCs w:val="24"/>
              </w:rPr>
              <w:t>时间</w:t>
            </w:r>
          </w:p>
        </w:tc>
        <w:tc>
          <w:tcPr>
            <w:tcW w:w="5891" w:type="dxa"/>
            <w:vAlign w:val="center"/>
          </w:tcPr>
          <w:p w14:paraId="4B1AA316" w14:textId="00A31F15" w:rsidR="00A420A7" w:rsidRPr="00557778" w:rsidRDefault="00557778" w:rsidP="00FF767C">
            <w:pPr>
              <w:spacing w:line="360" w:lineRule="auto"/>
              <w:jc w:val="center"/>
            </w:pPr>
            <w:r w:rsidRPr="005626B7">
              <w:rPr>
                <w:rFonts w:hint="eastAsia"/>
              </w:rPr>
              <w:t>202</w:t>
            </w:r>
            <w:r w:rsidR="008551B1">
              <w:t>6</w:t>
            </w:r>
            <w:r w:rsidRPr="005626B7">
              <w:rPr>
                <w:rFonts w:hint="eastAsia"/>
              </w:rPr>
              <w:t>年</w:t>
            </w:r>
            <w:r w:rsidR="004827D4">
              <w:t>9</w:t>
            </w:r>
            <w:r w:rsidRPr="00351852">
              <w:rPr>
                <w:rFonts w:hint="eastAsia"/>
              </w:rPr>
              <w:t>月</w:t>
            </w:r>
            <w:r w:rsidR="004827D4">
              <w:t>15</w:t>
            </w:r>
            <w:r w:rsidRPr="00351852">
              <w:rPr>
                <w:rFonts w:hint="eastAsia"/>
              </w:rPr>
              <w:t>日（星期</w:t>
            </w:r>
            <w:r w:rsidR="004827D4">
              <w:rPr>
                <w:rFonts w:hint="eastAsia"/>
              </w:rPr>
              <w:t>二</w:t>
            </w:r>
            <w:r w:rsidRPr="00351852">
              <w:rPr>
                <w:rFonts w:hint="eastAsia"/>
              </w:rPr>
              <w:t>）</w:t>
            </w:r>
          </w:p>
        </w:tc>
      </w:tr>
      <w:tr w:rsidR="00A420A7" w14:paraId="1EE20405" w14:textId="77777777" w:rsidTr="00BA04C6">
        <w:tc>
          <w:tcPr>
            <w:tcW w:w="2405" w:type="dxa"/>
          </w:tcPr>
          <w:p w14:paraId="17754A46" w14:textId="77777777" w:rsidR="00A420A7" w:rsidRDefault="0002659A" w:rsidP="00BA04C6">
            <w:pPr>
              <w:jc w:val="center"/>
              <w:rPr>
                <w:b/>
                <w:bCs/>
                <w:szCs w:val="24"/>
              </w:rPr>
            </w:pPr>
            <w:r>
              <w:rPr>
                <w:rFonts w:hint="eastAsia"/>
                <w:b/>
                <w:bCs/>
                <w:szCs w:val="24"/>
              </w:rPr>
              <w:t>地点</w:t>
            </w:r>
          </w:p>
        </w:tc>
        <w:tc>
          <w:tcPr>
            <w:tcW w:w="5891" w:type="dxa"/>
            <w:vAlign w:val="center"/>
          </w:tcPr>
          <w:p w14:paraId="09AF2318" w14:textId="40BA9516" w:rsidR="00A420A7" w:rsidRPr="00557778" w:rsidRDefault="004827D4" w:rsidP="00BA04C6">
            <w:pPr>
              <w:spacing w:line="360" w:lineRule="auto"/>
              <w:jc w:val="center"/>
            </w:pPr>
            <w:r>
              <w:rPr>
                <w:rFonts w:hint="eastAsia"/>
              </w:rPr>
              <w:t>上海证券报•中国证券网（</w:t>
            </w:r>
            <w:hyperlink r:id="rId8" w:history="1">
              <w:r>
                <w:rPr>
                  <w:rStyle w:val="a7"/>
                </w:rPr>
                <w:t>https://roadshow.cnstock.com/</w:t>
              </w:r>
            </w:hyperlink>
            <w:r>
              <w:rPr>
                <w:rFonts w:hint="eastAsia"/>
              </w:rPr>
              <w:t>）</w:t>
            </w:r>
          </w:p>
        </w:tc>
      </w:tr>
      <w:tr w:rsidR="00921492" w14:paraId="69528243" w14:textId="77777777" w:rsidTr="00BA04C6">
        <w:tc>
          <w:tcPr>
            <w:tcW w:w="2405" w:type="dxa"/>
            <w:vAlign w:val="center"/>
          </w:tcPr>
          <w:p w14:paraId="5FC10569" w14:textId="77777777" w:rsidR="00921492" w:rsidRDefault="00921492" w:rsidP="00921492">
            <w:pPr>
              <w:rPr>
                <w:b/>
                <w:bCs/>
                <w:szCs w:val="24"/>
              </w:rPr>
            </w:pPr>
            <w:r>
              <w:rPr>
                <w:rFonts w:hint="eastAsia"/>
                <w:b/>
                <w:bCs/>
                <w:szCs w:val="24"/>
              </w:rPr>
              <w:t>上市公司接待人员</w:t>
            </w:r>
          </w:p>
          <w:p w14:paraId="0AF985EF" w14:textId="77777777" w:rsidR="00921492" w:rsidRDefault="00921492" w:rsidP="00921492">
            <w:pPr>
              <w:jc w:val="center"/>
              <w:rPr>
                <w:b/>
                <w:bCs/>
                <w:szCs w:val="24"/>
              </w:rPr>
            </w:pPr>
            <w:r>
              <w:rPr>
                <w:rFonts w:hint="eastAsia"/>
                <w:b/>
                <w:bCs/>
                <w:szCs w:val="24"/>
              </w:rPr>
              <w:t>姓名</w:t>
            </w:r>
          </w:p>
        </w:tc>
        <w:tc>
          <w:tcPr>
            <w:tcW w:w="5891" w:type="dxa"/>
            <w:vAlign w:val="center"/>
          </w:tcPr>
          <w:p w14:paraId="3E4B4994" w14:textId="2F7F39B8" w:rsidR="00921492" w:rsidRDefault="004827D4" w:rsidP="00FF767C">
            <w:pPr>
              <w:spacing w:line="360" w:lineRule="auto"/>
              <w:ind w:firstLineChars="14" w:firstLine="34"/>
              <w:jc w:val="center"/>
              <w:rPr>
                <w:szCs w:val="24"/>
              </w:rPr>
            </w:pPr>
            <w:r>
              <w:t xml:space="preserve">  </w:t>
            </w:r>
            <w:r>
              <w:rPr>
                <w:rFonts w:hint="eastAsia"/>
              </w:rPr>
              <w:t>公司董事长兼总经理</w:t>
            </w:r>
            <w:r>
              <w:t>JUN JI</w:t>
            </w:r>
            <w:r>
              <w:rPr>
                <w:rFonts w:hint="eastAsia"/>
              </w:rPr>
              <w:t>先生、财务总监陆丽华女士、董事会秘书周可舒先生及独立董事沈同仙女士</w:t>
            </w:r>
          </w:p>
        </w:tc>
      </w:tr>
      <w:tr w:rsidR="00921492" w14:paraId="54021875" w14:textId="77777777" w:rsidTr="00BA04C6">
        <w:tc>
          <w:tcPr>
            <w:tcW w:w="2405" w:type="dxa"/>
          </w:tcPr>
          <w:p w14:paraId="1D5C39D4" w14:textId="77777777" w:rsidR="00921492" w:rsidRDefault="00921492" w:rsidP="00921492">
            <w:pPr>
              <w:jc w:val="center"/>
              <w:rPr>
                <w:b/>
                <w:bCs/>
                <w:szCs w:val="24"/>
              </w:rPr>
            </w:pPr>
          </w:p>
          <w:p w14:paraId="76234CA9" w14:textId="77777777" w:rsidR="00921492" w:rsidRDefault="00921492" w:rsidP="00921492">
            <w:pPr>
              <w:jc w:val="center"/>
              <w:rPr>
                <w:b/>
                <w:bCs/>
                <w:szCs w:val="24"/>
              </w:rPr>
            </w:pPr>
          </w:p>
          <w:p w14:paraId="4340D6A5" w14:textId="77777777" w:rsidR="00921492" w:rsidRDefault="00921492" w:rsidP="00921492">
            <w:pPr>
              <w:jc w:val="center"/>
              <w:rPr>
                <w:b/>
                <w:bCs/>
                <w:szCs w:val="24"/>
              </w:rPr>
            </w:pPr>
          </w:p>
          <w:p w14:paraId="29775D79" w14:textId="77777777" w:rsidR="00921492" w:rsidRPr="001F4849" w:rsidRDefault="00921492" w:rsidP="00921492">
            <w:pPr>
              <w:jc w:val="center"/>
              <w:rPr>
                <w:b/>
                <w:bCs/>
                <w:szCs w:val="24"/>
              </w:rPr>
            </w:pPr>
            <w:r w:rsidRPr="001F4849">
              <w:rPr>
                <w:rFonts w:hint="eastAsia"/>
                <w:b/>
                <w:bCs/>
                <w:szCs w:val="24"/>
              </w:rPr>
              <w:t>投资者关系活动主要内容介绍</w:t>
            </w:r>
          </w:p>
        </w:tc>
        <w:tc>
          <w:tcPr>
            <w:tcW w:w="5891" w:type="dxa"/>
          </w:tcPr>
          <w:p w14:paraId="0E11AA77" w14:textId="7C10313E" w:rsidR="004827D4" w:rsidRPr="004827D4" w:rsidRDefault="004827D4" w:rsidP="00A1655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cs="Times New Roman"/>
                <w:color w:val="000000"/>
                <w:kern w:val="0"/>
                <w:szCs w:val="24"/>
              </w:rPr>
            </w:pPr>
            <w:r w:rsidRPr="004827D4">
              <w:rPr>
                <w:rFonts w:cs="Times New Roman"/>
                <w:b/>
                <w:bCs/>
                <w:color w:val="000000"/>
                <w:kern w:val="0"/>
                <w:szCs w:val="24"/>
              </w:rPr>
              <w:t>1.</w:t>
            </w:r>
            <w:r w:rsidRPr="004827D4">
              <w:rPr>
                <w:rFonts w:cs="Times New Roman"/>
                <w:b/>
                <w:bCs/>
                <w:color w:val="000000"/>
                <w:kern w:val="0"/>
                <w:szCs w:val="24"/>
              </w:rPr>
              <w:t>公司什么时候能完成收购？</w:t>
            </w:r>
          </w:p>
          <w:p w14:paraId="56C5490F" w14:textId="77777777" w:rsidR="004827D4" w:rsidRPr="004827D4" w:rsidRDefault="004827D4" w:rsidP="00A1655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cs="Times New Roman"/>
                <w:color w:val="000000"/>
                <w:kern w:val="0"/>
                <w:szCs w:val="24"/>
              </w:rPr>
            </w:pPr>
            <w:r w:rsidRPr="004827D4">
              <w:rPr>
                <w:rFonts w:cs="Times New Roman"/>
                <w:color w:val="000000"/>
                <w:kern w:val="0"/>
                <w:szCs w:val="24"/>
              </w:rPr>
              <w:t>答：尊敬的投资者，您好！公司对达峰并购项目目前仅签署框架协议，尚在开展审计评估、出具相应报告、商务条款洽谈等工作，最终达成正式并购交易尚存在不确定性。公司将根据事项进展及时履行信息披露义务，请投资者关注后续公告。感谢您的关注！</w:t>
            </w:r>
          </w:p>
          <w:p w14:paraId="69909645" w14:textId="77777777" w:rsidR="004827D4" w:rsidRPr="004827D4" w:rsidRDefault="004827D4" w:rsidP="00A16551">
            <w:pPr>
              <w:widowControl/>
              <w:spacing w:line="276" w:lineRule="auto"/>
              <w:rPr>
                <w:rFonts w:cs="Times New Roman"/>
                <w:kern w:val="0"/>
                <w:szCs w:val="24"/>
              </w:rPr>
            </w:pPr>
          </w:p>
          <w:p w14:paraId="6AE1BC64" w14:textId="77777777" w:rsidR="004827D4" w:rsidRPr="004827D4" w:rsidRDefault="004827D4" w:rsidP="00A1655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cs="Times New Roman"/>
                <w:color w:val="000000"/>
                <w:kern w:val="0"/>
                <w:szCs w:val="24"/>
              </w:rPr>
            </w:pPr>
            <w:r w:rsidRPr="004827D4">
              <w:rPr>
                <w:rFonts w:cs="Times New Roman"/>
                <w:b/>
                <w:bCs/>
                <w:color w:val="000000"/>
                <w:kern w:val="0"/>
                <w:szCs w:val="24"/>
              </w:rPr>
              <w:t>2.</w:t>
            </w:r>
            <w:r w:rsidRPr="004827D4">
              <w:rPr>
                <w:rFonts w:cs="Times New Roman"/>
                <w:b/>
                <w:bCs/>
                <w:color w:val="000000"/>
                <w:kern w:val="0"/>
                <w:szCs w:val="24"/>
              </w:rPr>
              <w:t>收购达峰公司最新进展如何？能为公司带来多少业绩贡献？</w:t>
            </w:r>
          </w:p>
          <w:p w14:paraId="710534AC" w14:textId="77777777" w:rsidR="004827D4" w:rsidRPr="004827D4" w:rsidRDefault="004827D4" w:rsidP="00A1655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cs="Times New Roman"/>
                <w:color w:val="000000"/>
                <w:kern w:val="0"/>
                <w:szCs w:val="24"/>
              </w:rPr>
            </w:pPr>
            <w:r w:rsidRPr="004827D4">
              <w:rPr>
                <w:rFonts w:cs="Times New Roman"/>
                <w:color w:val="000000"/>
                <w:kern w:val="0"/>
                <w:szCs w:val="24"/>
              </w:rPr>
              <w:t>答：尊敬的投资者，您好！公司对达峰并购项目目前仅签署框架协议，尚在开展审计评估、出具相应报告、商务条款洽谈等工作，最终达成正式并购交易尚存在不确定性。当前项目尚未达到并表条件，暂时无法为公司报表带来收入、利润贡献。公司将根据事项进展及时履行信息披露义务，请投资者关注后续公告。感谢您的关注！</w:t>
            </w:r>
          </w:p>
          <w:p w14:paraId="6FC29D7F" w14:textId="77777777" w:rsidR="004827D4" w:rsidRPr="004827D4" w:rsidRDefault="004827D4" w:rsidP="00A16551">
            <w:pPr>
              <w:widowControl/>
              <w:spacing w:line="276" w:lineRule="auto"/>
              <w:rPr>
                <w:rFonts w:cs="Times New Roman"/>
                <w:kern w:val="0"/>
                <w:szCs w:val="24"/>
              </w:rPr>
            </w:pPr>
          </w:p>
          <w:p w14:paraId="18210A73" w14:textId="77777777" w:rsidR="004827D4" w:rsidRPr="004827D4" w:rsidRDefault="004827D4" w:rsidP="00A1655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cs="Times New Roman"/>
                <w:color w:val="000000"/>
                <w:kern w:val="0"/>
                <w:szCs w:val="24"/>
              </w:rPr>
            </w:pPr>
            <w:r w:rsidRPr="004827D4">
              <w:rPr>
                <w:rFonts w:cs="Times New Roman"/>
                <w:b/>
                <w:bCs/>
                <w:color w:val="000000"/>
                <w:kern w:val="0"/>
                <w:szCs w:val="24"/>
              </w:rPr>
              <w:t>3.</w:t>
            </w:r>
            <w:r w:rsidRPr="004827D4">
              <w:rPr>
                <w:rFonts w:cs="Times New Roman"/>
                <w:b/>
                <w:bCs/>
                <w:color w:val="000000"/>
                <w:kern w:val="0"/>
                <w:szCs w:val="24"/>
              </w:rPr>
              <w:t>国内汽车保有量、平均车龄持续上涨，对公司国内后市场业务有何影响？</w:t>
            </w:r>
          </w:p>
          <w:p w14:paraId="469A9440" w14:textId="77777777" w:rsidR="004827D4" w:rsidRPr="004827D4" w:rsidRDefault="004827D4" w:rsidP="00A1655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cs="Times New Roman"/>
                <w:color w:val="000000"/>
                <w:kern w:val="0"/>
                <w:szCs w:val="24"/>
              </w:rPr>
            </w:pPr>
            <w:r w:rsidRPr="004827D4">
              <w:rPr>
                <w:rFonts w:cs="Times New Roman"/>
                <w:color w:val="000000"/>
                <w:kern w:val="0"/>
                <w:szCs w:val="24"/>
              </w:rPr>
              <w:lastRenderedPageBreak/>
              <w:t>答：尊敬的投资者：您好！国内汽车保有量、平均车龄持续上涨，国内维保需求稳步提升，为公司国内后市场业务带来增量空间。但国内外消费结构存在差异：海外分为</w:t>
            </w:r>
            <w:r w:rsidRPr="004827D4">
              <w:rPr>
                <w:rFonts w:cs="Times New Roman"/>
                <w:color w:val="000000"/>
                <w:kern w:val="0"/>
                <w:szCs w:val="24"/>
              </w:rPr>
              <w:t>DIY</w:t>
            </w:r>
            <w:r w:rsidRPr="004827D4">
              <w:rPr>
                <w:rFonts w:cs="Times New Roman"/>
                <w:color w:val="000000"/>
                <w:kern w:val="0"/>
                <w:szCs w:val="24"/>
              </w:rPr>
              <w:t>自助维修（消费者采购工具自行修车）和</w:t>
            </w:r>
            <w:r w:rsidRPr="004827D4">
              <w:rPr>
                <w:rFonts w:cs="Times New Roman"/>
                <w:color w:val="000000"/>
                <w:kern w:val="0"/>
                <w:szCs w:val="24"/>
              </w:rPr>
              <w:t>DIFM</w:t>
            </w:r>
            <w:r w:rsidRPr="004827D4">
              <w:rPr>
                <w:rFonts w:cs="Times New Roman"/>
                <w:color w:val="000000"/>
                <w:kern w:val="0"/>
                <w:szCs w:val="24"/>
              </w:rPr>
              <w:t>专业维修（交由线下维修门店保养检修）两类需求，专业维保市场体量庞大。公司将结合国内外市场特点，针对性布局产品和渠道。感谢您的关注！</w:t>
            </w:r>
          </w:p>
          <w:p w14:paraId="3336371D" w14:textId="77777777" w:rsidR="004827D4" w:rsidRPr="004827D4" w:rsidRDefault="004827D4" w:rsidP="00A16551">
            <w:pPr>
              <w:widowControl/>
              <w:spacing w:line="276" w:lineRule="auto"/>
              <w:rPr>
                <w:rFonts w:cs="Times New Roman"/>
                <w:kern w:val="0"/>
                <w:szCs w:val="24"/>
              </w:rPr>
            </w:pPr>
          </w:p>
          <w:p w14:paraId="41ED2189" w14:textId="77777777" w:rsidR="004827D4" w:rsidRPr="004827D4" w:rsidRDefault="004827D4" w:rsidP="00A1655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cs="Times New Roman"/>
                <w:color w:val="000000"/>
                <w:kern w:val="0"/>
                <w:szCs w:val="24"/>
              </w:rPr>
            </w:pPr>
            <w:r w:rsidRPr="004827D4">
              <w:rPr>
                <w:rFonts w:cs="Times New Roman"/>
                <w:b/>
                <w:bCs/>
                <w:color w:val="000000"/>
                <w:kern w:val="0"/>
                <w:szCs w:val="24"/>
              </w:rPr>
              <w:t>4.</w:t>
            </w:r>
            <w:r w:rsidRPr="004827D4">
              <w:rPr>
                <w:rFonts w:cs="Times New Roman"/>
                <w:b/>
                <w:bCs/>
                <w:color w:val="000000"/>
                <w:kern w:val="0"/>
                <w:szCs w:val="24"/>
              </w:rPr>
              <w:t>公司</w:t>
            </w:r>
            <w:r w:rsidRPr="004827D4">
              <w:rPr>
                <w:rFonts w:cs="Times New Roman"/>
                <w:b/>
                <w:bCs/>
                <w:color w:val="000000"/>
                <w:kern w:val="0"/>
                <w:szCs w:val="24"/>
              </w:rPr>
              <w:t>2026</w:t>
            </w:r>
            <w:r w:rsidRPr="004827D4">
              <w:rPr>
                <w:rFonts w:cs="Times New Roman"/>
                <w:b/>
                <w:bCs/>
                <w:color w:val="000000"/>
                <w:kern w:val="0"/>
                <w:szCs w:val="24"/>
              </w:rPr>
              <w:t>年半年度业绩情况整体如何？</w:t>
            </w:r>
          </w:p>
          <w:p w14:paraId="412C61FB" w14:textId="77777777" w:rsidR="004827D4" w:rsidRPr="004827D4" w:rsidRDefault="004827D4" w:rsidP="00A1655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cs="Times New Roman"/>
                <w:color w:val="000000"/>
                <w:kern w:val="0"/>
                <w:szCs w:val="24"/>
              </w:rPr>
            </w:pPr>
            <w:r w:rsidRPr="004827D4">
              <w:rPr>
                <w:rFonts w:cs="Times New Roman"/>
                <w:color w:val="000000"/>
                <w:kern w:val="0"/>
                <w:szCs w:val="24"/>
              </w:rPr>
              <w:t>答：投资者您好！报告期内，公司在运营上继续坚持全球范围内的汽车后装市场（</w:t>
            </w:r>
            <w:r w:rsidRPr="004827D4">
              <w:rPr>
                <w:rFonts w:cs="Times New Roman"/>
                <w:color w:val="000000"/>
                <w:kern w:val="0"/>
                <w:szCs w:val="24"/>
              </w:rPr>
              <w:t>AM</w:t>
            </w:r>
            <w:r w:rsidRPr="004827D4">
              <w:rPr>
                <w:rFonts w:cs="Times New Roman"/>
                <w:color w:val="000000"/>
                <w:kern w:val="0"/>
                <w:szCs w:val="24"/>
              </w:rPr>
              <w:t>）市场和汽车前装配套零部件（</w:t>
            </w:r>
            <w:r w:rsidRPr="004827D4">
              <w:rPr>
                <w:rFonts w:cs="Times New Roman"/>
                <w:color w:val="000000"/>
                <w:kern w:val="0"/>
                <w:szCs w:val="24"/>
              </w:rPr>
              <w:t>OEM</w:t>
            </w:r>
            <w:r w:rsidRPr="004827D4">
              <w:rPr>
                <w:rFonts w:cs="Times New Roman"/>
                <w:color w:val="000000"/>
                <w:kern w:val="0"/>
                <w:szCs w:val="24"/>
              </w:rPr>
              <w:t>）市场两大市场业务的布局，在整车配套、后装汽配、专业汽车维修保养设备以及跨境电商等细分领域进一步巩固领先地位，着力推进跨境电商业务的快速发展；同时，结合产品结构优化，海内外生产基地协同运营提升效率、适度开展汇率套保等，减少外汇汇率波动对公司业绩的影响。</w:t>
            </w:r>
          </w:p>
          <w:p w14:paraId="5EB7B286" w14:textId="77777777" w:rsidR="004827D4" w:rsidRPr="004827D4" w:rsidRDefault="004827D4" w:rsidP="00A1655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cs="Times New Roman"/>
                <w:color w:val="000000"/>
                <w:kern w:val="0"/>
                <w:szCs w:val="24"/>
              </w:rPr>
            </w:pPr>
            <w:r w:rsidRPr="004827D4">
              <w:rPr>
                <w:rFonts w:cs="Times New Roman"/>
                <w:color w:val="000000"/>
                <w:kern w:val="0"/>
                <w:szCs w:val="24"/>
              </w:rPr>
              <w:t>2026</w:t>
            </w:r>
            <w:r w:rsidRPr="004827D4">
              <w:rPr>
                <w:rFonts w:cs="Times New Roman"/>
                <w:color w:val="000000"/>
                <w:kern w:val="0"/>
                <w:szCs w:val="24"/>
              </w:rPr>
              <w:t>年上半年，公司共实现营业收入</w:t>
            </w:r>
            <w:r w:rsidRPr="004827D4">
              <w:rPr>
                <w:rFonts w:cs="Times New Roman"/>
                <w:color w:val="000000"/>
                <w:kern w:val="0"/>
                <w:szCs w:val="24"/>
              </w:rPr>
              <w:t>153,573.31</w:t>
            </w:r>
            <w:r w:rsidRPr="004827D4">
              <w:rPr>
                <w:rFonts w:cs="Times New Roman"/>
                <w:color w:val="000000"/>
                <w:kern w:val="0"/>
                <w:szCs w:val="24"/>
              </w:rPr>
              <w:t>万元，同比增长</w:t>
            </w:r>
            <w:r w:rsidRPr="004827D4">
              <w:rPr>
                <w:rFonts w:cs="Times New Roman"/>
                <w:color w:val="000000"/>
                <w:kern w:val="0"/>
                <w:szCs w:val="24"/>
              </w:rPr>
              <w:t>9.67%</w:t>
            </w:r>
            <w:r w:rsidRPr="004827D4">
              <w:rPr>
                <w:rFonts w:cs="Times New Roman"/>
                <w:color w:val="000000"/>
                <w:kern w:val="0"/>
                <w:szCs w:val="24"/>
              </w:rPr>
              <w:t>；归属于上市公司股东的净利润</w:t>
            </w:r>
            <w:r w:rsidRPr="004827D4">
              <w:rPr>
                <w:rFonts w:cs="Times New Roman"/>
                <w:color w:val="000000"/>
                <w:kern w:val="0"/>
                <w:szCs w:val="24"/>
              </w:rPr>
              <w:t>9,061.25</w:t>
            </w:r>
            <w:r w:rsidRPr="004827D4">
              <w:rPr>
                <w:rFonts w:cs="Times New Roman"/>
                <w:color w:val="000000"/>
                <w:kern w:val="0"/>
                <w:szCs w:val="24"/>
              </w:rPr>
              <w:t>万元，同比下降</w:t>
            </w:r>
            <w:r w:rsidRPr="004827D4">
              <w:rPr>
                <w:rFonts w:cs="Times New Roman"/>
                <w:color w:val="000000"/>
                <w:kern w:val="0"/>
                <w:szCs w:val="24"/>
              </w:rPr>
              <w:t>15.55%</w:t>
            </w:r>
            <w:r w:rsidRPr="004827D4">
              <w:rPr>
                <w:rFonts w:cs="Times New Roman"/>
                <w:color w:val="000000"/>
                <w:kern w:val="0"/>
                <w:szCs w:val="24"/>
              </w:rPr>
              <w:t>；归属于上市公司股东的扣除非经常性损益的净利润</w:t>
            </w:r>
            <w:r w:rsidRPr="004827D4">
              <w:rPr>
                <w:rFonts w:cs="Times New Roman"/>
                <w:color w:val="000000"/>
                <w:kern w:val="0"/>
                <w:szCs w:val="24"/>
              </w:rPr>
              <w:t>8,707.24</w:t>
            </w:r>
            <w:r w:rsidRPr="004827D4">
              <w:rPr>
                <w:rFonts w:cs="Times New Roman"/>
                <w:color w:val="000000"/>
                <w:kern w:val="0"/>
                <w:szCs w:val="24"/>
              </w:rPr>
              <w:t>万元，同比下降</w:t>
            </w:r>
            <w:r w:rsidRPr="004827D4">
              <w:rPr>
                <w:rFonts w:cs="Times New Roman"/>
                <w:color w:val="000000"/>
                <w:kern w:val="0"/>
                <w:szCs w:val="24"/>
              </w:rPr>
              <w:t>15.16%</w:t>
            </w:r>
            <w:r w:rsidRPr="004827D4">
              <w:rPr>
                <w:rFonts w:cs="Times New Roman"/>
                <w:color w:val="000000"/>
                <w:kern w:val="0"/>
                <w:szCs w:val="24"/>
              </w:rPr>
              <w:t>；经营活动产生的现金流量净额</w:t>
            </w:r>
            <w:r w:rsidRPr="004827D4">
              <w:rPr>
                <w:rFonts w:cs="Times New Roman"/>
                <w:color w:val="000000"/>
                <w:kern w:val="0"/>
                <w:szCs w:val="24"/>
              </w:rPr>
              <w:t>9,514.61</w:t>
            </w:r>
            <w:r w:rsidRPr="004827D4">
              <w:rPr>
                <w:rFonts w:cs="Times New Roman"/>
                <w:color w:val="000000"/>
                <w:kern w:val="0"/>
                <w:szCs w:val="24"/>
              </w:rPr>
              <w:t>万元，同比下降</w:t>
            </w:r>
            <w:r w:rsidRPr="004827D4">
              <w:rPr>
                <w:rFonts w:cs="Times New Roman"/>
                <w:color w:val="000000"/>
                <w:kern w:val="0"/>
                <w:szCs w:val="24"/>
              </w:rPr>
              <w:t>15.82%</w:t>
            </w:r>
            <w:r w:rsidRPr="004827D4">
              <w:rPr>
                <w:rFonts w:cs="Times New Roman"/>
                <w:color w:val="000000"/>
                <w:kern w:val="0"/>
                <w:szCs w:val="24"/>
              </w:rPr>
              <w:t>；基本每股收益</w:t>
            </w:r>
            <w:r w:rsidRPr="004827D4">
              <w:rPr>
                <w:rFonts w:cs="Times New Roman"/>
                <w:color w:val="000000"/>
                <w:kern w:val="0"/>
                <w:szCs w:val="24"/>
              </w:rPr>
              <w:t>0.48</w:t>
            </w:r>
            <w:r w:rsidRPr="004827D4">
              <w:rPr>
                <w:rFonts w:cs="Times New Roman"/>
                <w:color w:val="000000"/>
                <w:kern w:val="0"/>
                <w:szCs w:val="24"/>
              </w:rPr>
              <w:t>元</w:t>
            </w:r>
            <w:r w:rsidRPr="004827D4">
              <w:rPr>
                <w:rFonts w:cs="Times New Roman"/>
                <w:color w:val="000000"/>
                <w:kern w:val="0"/>
                <w:szCs w:val="24"/>
              </w:rPr>
              <w:t>/</w:t>
            </w:r>
            <w:r w:rsidRPr="004827D4">
              <w:rPr>
                <w:rFonts w:cs="Times New Roman"/>
                <w:color w:val="000000"/>
                <w:kern w:val="0"/>
                <w:szCs w:val="24"/>
              </w:rPr>
              <w:t>股。</w:t>
            </w:r>
          </w:p>
          <w:p w14:paraId="48489E70" w14:textId="77777777" w:rsidR="004827D4" w:rsidRPr="004827D4" w:rsidRDefault="004827D4" w:rsidP="00A1655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cs="Times New Roman"/>
                <w:color w:val="000000"/>
                <w:kern w:val="0"/>
                <w:szCs w:val="24"/>
              </w:rPr>
            </w:pPr>
            <w:r w:rsidRPr="004827D4">
              <w:rPr>
                <w:rFonts w:cs="Times New Roman"/>
                <w:color w:val="000000"/>
                <w:kern w:val="0"/>
                <w:szCs w:val="24"/>
              </w:rPr>
              <w:t>从二季度单季来看，公司实现营业收入</w:t>
            </w:r>
            <w:r w:rsidRPr="004827D4">
              <w:rPr>
                <w:rFonts w:cs="Times New Roman"/>
                <w:color w:val="000000"/>
                <w:kern w:val="0"/>
                <w:szCs w:val="24"/>
              </w:rPr>
              <w:t>8.86</w:t>
            </w:r>
            <w:r w:rsidRPr="004827D4">
              <w:rPr>
                <w:rFonts w:cs="Times New Roman"/>
                <w:color w:val="000000"/>
                <w:kern w:val="0"/>
                <w:szCs w:val="24"/>
              </w:rPr>
              <w:t>亿元，同比增长约</w:t>
            </w:r>
            <w:r w:rsidRPr="004827D4">
              <w:rPr>
                <w:rFonts w:cs="Times New Roman"/>
                <w:color w:val="000000"/>
                <w:kern w:val="0"/>
                <w:szCs w:val="24"/>
              </w:rPr>
              <w:t>16.94%</w:t>
            </w:r>
            <w:r w:rsidRPr="004827D4">
              <w:rPr>
                <w:rFonts w:cs="Times New Roman"/>
                <w:color w:val="000000"/>
                <w:kern w:val="0"/>
                <w:szCs w:val="24"/>
              </w:rPr>
              <w:t>；归母净利润</w:t>
            </w:r>
            <w:r w:rsidRPr="004827D4">
              <w:rPr>
                <w:rFonts w:cs="Times New Roman"/>
                <w:color w:val="000000"/>
                <w:kern w:val="0"/>
                <w:szCs w:val="24"/>
              </w:rPr>
              <w:t>5763.1</w:t>
            </w:r>
            <w:r w:rsidRPr="004827D4">
              <w:rPr>
                <w:rFonts w:cs="Times New Roman"/>
                <w:color w:val="000000"/>
                <w:kern w:val="0"/>
                <w:szCs w:val="24"/>
              </w:rPr>
              <w:t>万元，同比增长约</w:t>
            </w:r>
            <w:r w:rsidRPr="004827D4">
              <w:rPr>
                <w:rFonts w:cs="Times New Roman"/>
                <w:color w:val="000000"/>
                <w:kern w:val="0"/>
                <w:szCs w:val="24"/>
              </w:rPr>
              <w:t>4.35%</w:t>
            </w:r>
            <w:r w:rsidRPr="004827D4">
              <w:rPr>
                <w:rFonts w:cs="Times New Roman"/>
                <w:color w:val="000000"/>
                <w:kern w:val="0"/>
                <w:szCs w:val="24"/>
              </w:rPr>
              <w:t>，环比增长约</w:t>
            </w:r>
            <w:r w:rsidRPr="004827D4">
              <w:rPr>
                <w:rFonts w:cs="Times New Roman"/>
                <w:color w:val="000000"/>
                <w:kern w:val="0"/>
                <w:szCs w:val="24"/>
              </w:rPr>
              <w:t>74.74%</w:t>
            </w:r>
            <w:r w:rsidRPr="004827D4">
              <w:rPr>
                <w:rFonts w:cs="Times New Roman"/>
                <w:color w:val="000000"/>
                <w:kern w:val="0"/>
                <w:szCs w:val="24"/>
              </w:rPr>
              <w:t>，是近几个季度以来较为理想的业绩表现，经营面实现回升。谢谢！</w:t>
            </w:r>
          </w:p>
          <w:p w14:paraId="24F30DC6" w14:textId="77777777" w:rsidR="004827D4" w:rsidRPr="004827D4" w:rsidRDefault="004827D4" w:rsidP="00A16551">
            <w:pPr>
              <w:widowControl/>
              <w:spacing w:line="276" w:lineRule="auto"/>
              <w:rPr>
                <w:rFonts w:cs="Times New Roman"/>
                <w:kern w:val="0"/>
                <w:szCs w:val="24"/>
              </w:rPr>
            </w:pPr>
          </w:p>
          <w:p w14:paraId="1B642BAA" w14:textId="77777777" w:rsidR="004827D4" w:rsidRPr="004827D4" w:rsidRDefault="004827D4" w:rsidP="00A1655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cs="Times New Roman"/>
                <w:color w:val="000000"/>
                <w:kern w:val="0"/>
                <w:szCs w:val="24"/>
              </w:rPr>
            </w:pPr>
            <w:r w:rsidRPr="004827D4">
              <w:rPr>
                <w:rFonts w:cs="Times New Roman"/>
                <w:b/>
                <w:bCs/>
                <w:color w:val="000000"/>
                <w:kern w:val="0"/>
                <w:szCs w:val="24"/>
              </w:rPr>
              <w:t>5.</w:t>
            </w:r>
            <w:r w:rsidRPr="004827D4">
              <w:rPr>
                <w:rFonts w:cs="Times New Roman"/>
                <w:b/>
                <w:bCs/>
                <w:color w:val="000000"/>
                <w:kern w:val="0"/>
                <w:szCs w:val="24"/>
              </w:rPr>
              <w:t>公司</w:t>
            </w:r>
            <w:r w:rsidRPr="004827D4">
              <w:rPr>
                <w:rFonts w:cs="Times New Roman"/>
                <w:b/>
                <w:bCs/>
                <w:color w:val="000000"/>
                <w:kern w:val="0"/>
                <w:szCs w:val="24"/>
              </w:rPr>
              <w:t>2026</w:t>
            </w:r>
            <w:r w:rsidRPr="004827D4">
              <w:rPr>
                <w:rFonts w:cs="Times New Roman"/>
                <w:b/>
                <w:bCs/>
                <w:color w:val="000000"/>
                <w:kern w:val="0"/>
                <w:szCs w:val="24"/>
              </w:rPr>
              <w:t>年半年度盈利水平情况？</w:t>
            </w:r>
          </w:p>
          <w:p w14:paraId="6CEBDE37" w14:textId="77777777" w:rsidR="004827D4" w:rsidRPr="004827D4" w:rsidRDefault="004827D4" w:rsidP="00A1655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cs="Times New Roman"/>
                <w:color w:val="000000"/>
                <w:kern w:val="0"/>
                <w:szCs w:val="24"/>
              </w:rPr>
            </w:pPr>
            <w:r w:rsidRPr="004827D4">
              <w:rPr>
                <w:rFonts w:cs="Times New Roman"/>
                <w:color w:val="000000"/>
                <w:kern w:val="0"/>
                <w:szCs w:val="24"/>
              </w:rPr>
              <w:t>答：投资者您好！</w:t>
            </w:r>
            <w:r w:rsidRPr="004827D4">
              <w:rPr>
                <w:rFonts w:cs="Times New Roman"/>
                <w:color w:val="000000"/>
                <w:kern w:val="0"/>
                <w:szCs w:val="24"/>
              </w:rPr>
              <w:t>2026</w:t>
            </w:r>
            <w:r w:rsidRPr="004827D4">
              <w:rPr>
                <w:rFonts w:cs="Times New Roman"/>
                <w:color w:val="000000"/>
                <w:kern w:val="0"/>
                <w:szCs w:val="24"/>
              </w:rPr>
              <w:t>年半年度，公司共实现营业收入</w:t>
            </w:r>
            <w:r w:rsidRPr="004827D4">
              <w:rPr>
                <w:rFonts w:cs="Times New Roman"/>
                <w:color w:val="000000"/>
                <w:kern w:val="0"/>
                <w:szCs w:val="24"/>
              </w:rPr>
              <w:t>153,573.31</w:t>
            </w:r>
            <w:r w:rsidRPr="004827D4">
              <w:rPr>
                <w:rFonts w:cs="Times New Roman"/>
                <w:color w:val="000000"/>
                <w:kern w:val="0"/>
                <w:szCs w:val="24"/>
              </w:rPr>
              <w:t>万元，同比增长</w:t>
            </w:r>
            <w:r w:rsidRPr="004827D4">
              <w:rPr>
                <w:rFonts w:cs="Times New Roman"/>
                <w:color w:val="000000"/>
                <w:kern w:val="0"/>
                <w:szCs w:val="24"/>
              </w:rPr>
              <w:t>9.67%</w:t>
            </w:r>
            <w:r w:rsidRPr="004827D4">
              <w:rPr>
                <w:rFonts w:cs="Times New Roman"/>
                <w:color w:val="000000"/>
                <w:kern w:val="0"/>
                <w:szCs w:val="24"/>
              </w:rPr>
              <w:t>；归属于上市公司股东的净利润</w:t>
            </w:r>
            <w:r w:rsidRPr="004827D4">
              <w:rPr>
                <w:rFonts w:cs="Times New Roman"/>
                <w:color w:val="000000"/>
                <w:kern w:val="0"/>
                <w:szCs w:val="24"/>
              </w:rPr>
              <w:t>9,061.25</w:t>
            </w:r>
            <w:r w:rsidRPr="004827D4">
              <w:rPr>
                <w:rFonts w:cs="Times New Roman"/>
                <w:color w:val="000000"/>
                <w:kern w:val="0"/>
                <w:szCs w:val="24"/>
              </w:rPr>
              <w:t>万元，同比下降</w:t>
            </w:r>
            <w:r w:rsidRPr="004827D4">
              <w:rPr>
                <w:rFonts w:cs="Times New Roman"/>
                <w:color w:val="000000"/>
                <w:kern w:val="0"/>
                <w:szCs w:val="24"/>
              </w:rPr>
              <w:t>15.55%</w:t>
            </w:r>
            <w:r w:rsidRPr="004827D4">
              <w:rPr>
                <w:rFonts w:cs="Times New Roman"/>
                <w:color w:val="000000"/>
                <w:kern w:val="0"/>
                <w:szCs w:val="24"/>
              </w:rPr>
              <w:t>；归属于上市公司股东的扣除非经常性损益的净利润</w:t>
            </w:r>
            <w:r w:rsidRPr="004827D4">
              <w:rPr>
                <w:rFonts w:cs="Times New Roman"/>
                <w:color w:val="000000"/>
                <w:kern w:val="0"/>
                <w:szCs w:val="24"/>
              </w:rPr>
              <w:t>8,707.24</w:t>
            </w:r>
            <w:r w:rsidRPr="004827D4">
              <w:rPr>
                <w:rFonts w:cs="Times New Roman"/>
                <w:color w:val="000000"/>
                <w:kern w:val="0"/>
                <w:szCs w:val="24"/>
              </w:rPr>
              <w:t>万元，同比下降</w:t>
            </w:r>
            <w:r w:rsidRPr="004827D4">
              <w:rPr>
                <w:rFonts w:cs="Times New Roman"/>
                <w:color w:val="000000"/>
                <w:kern w:val="0"/>
                <w:szCs w:val="24"/>
              </w:rPr>
              <w:t>15.16%</w:t>
            </w:r>
            <w:r w:rsidRPr="004827D4">
              <w:rPr>
                <w:rFonts w:cs="Times New Roman"/>
                <w:color w:val="000000"/>
                <w:kern w:val="0"/>
                <w:szCs w:val="24"/>
              </w:rPr>
              <w:t>，主要系汇率波动造成的汇兑损失较上期增加所致。具体内容详见公司于上海证券交易所网站</w:t>
            </w:r>
            <w:r w:rsidRPr="004827D4">
              <w:rPr>
                <w:rFonts w:cs="Times New Roman"/>
                <w:color w:val="000000"/>
                <w:kern w:val="0"/>
                <w:szCs w:val="24"/>
              </w:rPr>
              <w:t>(http://www.sse.com.cn)</w:t>
            </w:r>
            <w:r w:rsidRPr="004827D4">
              <w:rPr>
                <w:rFonts w:cs="Times New Roman"/>
                <w:color w:val="000000"/>
                <w:kern w:val="0"/>
                <w:szCs w:val="24"/>
              </w:rPr>
              <w:t>披露的《常熟通润汽车零部件股份有限公司</w:t>
            </w:r>
            <w:r w:rsidRPr="004827D4">
              <w:rPr>
                <w:rFonts w:cs="Times New Roman"/>
                <w:color w:val="000000"/>
                <w:kern w:val="0"/>
                <w:szCs w:val="24"/>
              </w:rPr>
              <w:t>2026</w:t>
            </w:r>
            <w:r w:rsidRPr="004827D4">
              <w:rPr>
                <w:rFonts w:cs="Times New Roman"/>
                <w:color w:val="000000"/>
                <w:kern w:val="0"/>
                <w:szCs w:val="24"/>
              </w:rPr>
              <w:t>年半年度报告》，谢谢！</w:t>
            </w:r>
          </w:p>
          <w:p w14:paraId="2FB8CC6F" w14:textId="77777777" w:rsidR="004827D4" w:rsidRPr="004827D4" w:rsidRDefault="004827D4" w:rsidP="00A16551">
            <w:pPr>
              <w:widowControl/>
              <w:spacing w:line="276" w:lineRule="auto"/>
              <w:rPr>
                <w:rFonts w:cs="Times New Roman"/>
                <w:kern w:val="0"/>
                <w:szCs w:val="24"/>
              </w:rPr>
            </w:pPr>
          </w:p>
          <w:p w14:paraId="5F8779E4" w14:textId="45C47F35" w:rsidR="004827D4" w:rsidRPr="004827D4" w:rsidRDefault="004827D4" w:rsidP="00A1655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cs="Times New Roman"/>
                <w:color w:val="000000"/>
                <w:kern w:val="0"/>
                <w:szCs w:val="24"/>
              </w:rPr>
            </w:pPr>
            <w:r w:rsidRPr="004827D4">
              <w:rPr>
                <w:rFonts w:cs="Times New Roman"/>
                <w:b/>
                <w:bCs/>
                <w:color w:val="000000"/>
                <w:kern w:val="0"/>
                <w:szCs w:val="24"/>
              </w:rPr>
              <w:lastRenderedPageBreak/>
              <w:t>6.</w:t>
            </w:r>
            <w:r w:rsidRPr="004827D4">
              <w:rPr>
                <w:rFonts w:cs="Times New Roman"/>
                <w:b/>
                <w:bCs/>
                <w:color w:val="000000"/>
                <w:kern w:val="0"/>
                <w:szCs w:val="24"/>
              </w:rPr>
              <w:t>公布收购消息以后为什么股价之前会有一个连续四天跌停</w:t>
            </w:r>
            <w:r w:rsidR="009C23BA">
              <w:rPr>
                <w:rFonts w:cs="Times New Roman"/>
                <w:b/>
                <w:bCs/>
                <w:color w:val="000000"/>
                <w:kern w:val="0"/>
                <w:szCs w:val="24"/>
              </w:rPr>
              <w:t>？</w:t>
            </w:r>
          </w:p>
          <w:p w14:paraId="6B5C092D" w14:textId="77777777" w:rsidR="004827D4" w:rsidRPr="004827D4" w:rsidRDefault="004827D4" w:rsidP="00A1655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cs="Times New Roman"/>
                <w:color w:val="000000"/>
                <w:kern w:val="0"/>
                <w:szCs w:val="24"/>
              </w:rPr>
            </w:pPr>
            <w:r w:rsidRPr="004827D4">
              <w:rPr>
                <w:rFonts w:cs="Times New Roman"/>
                <w:color w:val="000000"/>
                <w:kern w:val="0"/>
                <w:szCs w:val="24"/>
              </w:rPr>
              <w:t>答：投资者您好，二级市场股价波动受宏观经济、市场环境、行业竞争等多种因素影响。公司对本次达峰收购事项按照信息披露要求履行义务，除已披露的重大对外投资事项外，公司不存在其他应披露而未披露的重大信息。公司将依法合规推进，并及时履行信息披露义务。感谢您的关注！</w:t>
            </w:r>
          </w:p>
          <w:p w14:paraId="44D8EC06" w14:textId="77777777" w:rsidR="004827D4" w:rsidRPr="004827D4" w:rsidRDefault="004827D4" w:rsidP="00A16551">
            <w:pPr>
              <w:widowControl/>
              <w:spacing w:line="276" w:lineRule="auto"/>
              <w:rPr>
                <w:rFonts w:cs="Times New Roman"/>
                <w:kern w:val="0"/>
                <w:szCs w:val="24"/>
              </w:rPr>
            </w:pPr>
          </w:p>
          <w:p w14:paraId="50E37294" w14:textId="1E50EC26" w:rsidR="004827D4" w:rsidRPr="004827D4" w:rsidRDefault="004827D4" w:rsidP="00A1655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cs="Times New Roman"/>
                <w:color w:val="000000"/>
                <w:kern w:val="0"/>
                <w:szCs w:val="24"/>
              </w:rPr>
            </w:pPr>
            <w:r w:rsidRPr="004827D4">
              <w:rPr>
                <w:rFonts w:cs="Times New Roman"/>
                <w:b/>
                <w:bCs/>
                <w:color w:val="000000"/>
                <w:kern w:val="0"/>
                <w:szCs w:val="24"/>
              </w:rPr>
              <w:t>7.</w:t>
            </w:r>
            <w:r w:rsidRPr="004827D4">
              <w:rPr>
                <w:rFonts w:cs="Times New Roman"/>
                <w:b/>
                <w:bCs/>
                <w:color w:val="000000"/>
                <w:kern w:val="0"/>
                <w:szCs w:val="24"/>
              </w:rPr>
              <w:t>四个跌停之后</w:t>
            </w:r>
            <w:r w:rsidRPr="004827D4">
              <w:rPr>
                <w:rFonts w:cs="Times New Roman"/>
                <w:b/>
                <w:bCs/>
                <w:color w:val="000000"/>
                <w:kern w:val="0"/>
                <w:szCs w:val="24"/>
              </w:rPr>
              <w:t>2</w:t>
            </w:r>
            <w:r w:rsidRPr="004827D4">
              <w:rPr>
                <w:rFonts w:cs="Times New Roman"/>
                <w:b/>
                <w:bCs/>
                <w:color w:val="000000"/>
                <w:kern w:val="0"/>
                <w:szCs w:val="24"/>
              </w:rPr>
              <w:t>个多月到现在也没有反弹到之前的价位，能解释一下吗，谢谢</w:t>
            </w:r>
            <w:r w:rsidR="009C23BA">
              <w:rPr>
                <w:rFonts w:cs="Times New Roman"/>
                <w:b/>
                <w:bCs/>
                <w:color w:val="000000"/>
                <w:kern w:val="0"/>
                <w:szCs w:val="24"/>
              </w:rPr>
              <w:t>。</w:t>
            </w:r>
          </w:p>
          <w:p w14:paraId="40AF6DC9" w14:textId="77777777" w:rsidR="004827D4" w:rsidRPr="004827D4" w:rsidRDefault="004827D4" w:rsidP="00A1655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cs="Times New Roman"/>
                <w:color w:val="000000"/>
                <w:kern w:val="0"/>
                <w:szCs w:val="24"/>
              </w:rPr>
            </w:pPr>
            <w:r w:rsidRPr="004827D4">
              <w:rPr>
                <w:rFonts w:cs="Times New Roman"/>
                <w:color w:val="000000"/>
                <w:kern w:val="0"/>
                <w:szCs w:val="24"/>
              </w:rPr>
              <w:t>答：尊敬的投资者，您好。二级市场股价波动受宏观经济、市场环境、行业竞争等多种因素影响。公司未来将始终聚焦主业拓产品，围绕汽车维修保养设备与工具领域，打造多元化品类，并实现线上线下互推营销，推动企业成长。也将采用外延并购、合资等资本加产业的方式，打造更多富有竞争力的汽车维保产品。感谢您的关注！</w:t>
            </w:r>
          </w:p>
          <w:p w14:paraId="25137F94" w14:textId="77777777" w:rsidR="004827D4" w:rsidRPr="004827D4" w:rsidRDefault="004827D4" w:rsidP="00A16551">
            <w:pPr>
              <w:widowControl/>
              <w:spacing w:line="276" w:lineRule="auto"/>
              <w:rPr>
                <w:rFonts w:cs="Times New Roman"/>
                <w:kern w:val="0"/>
                <w:szCs w:val="24"/>
              </w:rPr>
            </w:pPr>
          </w:p>
          <w:p w14:paraId="78121625" w14:textId="77777777" w:rsidR="004827D4" w:rsidRPr="004827D4" w:rsidRDefault="004827D4" w:rsidP="00A1655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cs="Times New Roman"/>
                <w:color w:val="000000"/>
                <w:kern w:val="0"/>
                <w:szCs w:val="24"/>
              </w:rPr>
            </w:pPr>
            <w:r w:rsidRPr="004827D4">
              <w:rPr>
                <w:rFonts w:cs="Times New Roman"/>
                <w:b/>
                <w:bCs/>
                <w:color w:val="000000"/>
                <w:kern w:val="0"/>
                <w:szCs w:val="24"/>
              </w:rPr>
              <w:t>8.</w:t>
            </w:r>
            <w:r w:rsidRPr="004827D4">
              <w:rPr>
                <w:rFonts w:cs="Times New Roman"/>
                <w:b/>
                <w:bCs/>
                <w:color w:val="000000"/>
                <w:kern w:val="0"/>
                <w:szCs w:val="24"/>
              </w:rPr>
              <w:t>上半年归母净利润同比下降</w:t>
            </w:r>
            <w:r w:rsidRPr="004827D4">
              <w:rPr>
                <w:rFonts w:cs="Times New Roman"/>
                <w:b/>
                <w:bCs/>
                <w:color w:val="000000"/>
                <w:kern w:val="0"/>
                <w:szCs w:val="24"/>
              </w:rPr>
              <w:t>15.55%</w:t>
            </w:r>
            <w:r w:rsidRPr="004827D4">
              <w:rPr>
                <w:rFonts w:cs="Times New Roman"/>
                <w:b/>
                <w:bCs/>
                <w:color w:val="000000"/>
                <w:kern w:val="0"/>
                <w:szCs w:val="24"/>
              </w:rPr>
              <w:t>，但二季度环比大幅改善，请问公司如何看待上半年整体业绩表现？下半年盈利能否持续向好？</w:t>
            </w:r>
          </w:p>
          <w:p w14:paraId="68E89149" w14:textId="77777777" w:rsidR="004827D4" w:rsidRPr="004827D4" w:rsidRDefault="004827D4" w:rsidP="00A1655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cs="Times New Roman"/>
                <w:color w:val="000000"/>
                <w:kern w:val="0"/>
                <w:szCs w:val="24"/>
              </w:rPr>
            </w:pPr>
            <w:r w:rsidRPr="004827D4">
              <w:rPr>
                <w:rFonts w:cs="Times New Roman"/>
                <w:color w:val="000000"/>
                <w:kern w:val="0"/>
                <w:szCs w:val="24"/>
              </w:rPr>
              <w:t>答：尊敬的投资者，您好！公司</w:t>
            </w:r>
            <w:r w:rsidRPr="004827D4">
              <w:rPr>
                <w:rFonts w:cs="Times New Roman"/>
                <w:color w:val="000000"/>
                <w:kern w:val="0"/>
                <w:szCs w:val="24"/>
              </w:rPr>
              <w:t>2026</w:t>
            </w:r>
            <w:r w:rsidRPr="004827D4">
              <w:rPr>
                <w:rFonts w:cs="Times New Roman"/>
                <w:color w:val="000000"/>
                <w:kern w:val="0"/>
                <w:szCs w:val="24"/>
              </w:rPr>
              <w:t>年上半年实现营业收入</w:t>
            </w:r>
            <w:r w:rsidRPr="004827D4">
              <w:rPr>
                <w:rFonts w:cs="Times New Roman"/>
                <w:color w:val="000000"/>
                <w:kern w:val="0"/>
                <w:szCs w:val="24"/>
              </w:rPr>
              <w:t>15.36</w:t>
            </w:r>
            <w:r w:rsidRPr="004827D4">
              <w:rPr>
                <w:rFonts w:cs="Times New Roman"/>
                <w:color w:val="000000"/>
                <w:kern w:val="0"/>
                <w:szCs w:val="24"/>
              </w:rPr>
              <w:t>亿元，同比增长</w:t>
            </w:r>
            <w:r w:rsidRPr="004827D4">
              <w:rPr>
                <w:rFonts w:cs="Times New Roman"/>
                <w:color w:val="000000"/>
                <w:kern w:val="0"/>
                <w:szCs w:val="24"/>
              </w:rPr>
              <w:t>9.67%</w:t>
            </w:r>
            <w:r w:rsidRPr="004827D4">
              <w:rPr>
                <w:rFonts w:cs="Times New Roman"/>
                <w:color w:val="000000"/>
                <w:kern w:val="0"/>
                <w:szCs w:val="24"/>
              </w:rPr>
              <w:t>；归</w:t>
            </w:r>
            <w:bookmarkStart w:id="0" w:name="_GoBack"/>
            <w:bookmarkEnd w:id="0"/>
            <w:r w:rsidRPr="004827D4">
              <w:rPr>
                <w:rFonts w:cs="Times New Roman"/>
                <w:color w:val="000000"/>
                <w:kern w:val="0"/>
                <w:szCs w:val="24"/>
              </w:rPr>
              <w:t>母净利润</w:t>
            </w:r>
            <w:r w:rsidRPr="004827D4">
              <w:rPr>
                <w:rFonts w:cs="Times New Roman"/>
                <w:color w:val="000000"/>
                <w:kern w:val="0"/>
                <w:szCs w:val="24"/>
              </w:rPr>
              <w:t>9061.25</w:t>
            </w:r>
            <w:r w:rsidRPr="004827D4">
              <w:rPr>
                <w:rFonts w:cs="Times New Roman"/>
                <w:color w:val="000000"/>
                <w:kern w:val="0"/>
                <w:szCs w:val="24"/>
              </w:rPr>
              <w:t>万元，同比下降</w:t>
            </w:r>
            <w:r w:rsidRPr="004827D4">
              <w:rPr>
                <w:rFonts w:cs="Times New Roman"/>
                <w:color w:val="000000"/>
                <w:kern w:val="0"/>
                <w:szCs w:val="24"/>
              </w:rPr>
              <w:t>15.55%</w:t>
            </w:r>
            <w:r w:rsidRPr="004827D4">
              <w:rPr>
                <w:rFonts w:cs="Times New Roman"/>
                <w:color w:val="000000"/>
                <w:kern w:val="0"/>
                <w:szCs w:val="24"/>
              </w:rPr>
              <w:t>。上半年利润端承压，核心原因是相比去年同期，人民币大幅升值等汇率波动带来较大汇兑损失。</w:t>
            </w:r>
          </w:p>
          <w:p w14:paraId="3D1A837F" w14:textId="77777777" w:rsidR="004827D4" w:rsidRPr="004827D4" w:rsidRDefault="004827D4" w:rsidP="00A1655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cs="Times New Roman"/>
                <w:color w:val="000000"/>
                <w:kern w:val="0"/>
                <w:szCs w:val="24"/>
              </w:rPr>
            </w:pPr>
            <w:r w:rsidRPr="004827D4">
              <w:rPr>
                <w:rFonts w:cs="Times New Roman"/>
                <w:color w:val="000000"/>
                <w:kern w:val="0"/>
                <w:szCs w:val="24"/>
              </w:rPr>
              <w:t>从二季度单季来看，公司实现营业收入</w:t>
            </w:r>
            <w:r w:rsidRPr="004827D4">
              <w:rPr>
                <w:rFonts w:cs="Times New Roman"/>
                <w:color w:val="000000"/>
                <w:kern w:val="0"/>
                <w:szCs w:val="24"/>
              </w:rPr>
              <w:t>8.86</w:t>
            </w:r>
            <w:r w:rsidRPr="004827D4">
              <w:rPr>
                <w:rFonts w:cs="Times New Roman"/>
                <w:color w:val="000000"/>
                <w:kern w:val="0"/>
                <w:szCs w:val="24"/>
              </w:rPr>
              <w:t>亿元，同比增长约</w:t>
            </w:r>
            <w:r w:rsidRPr="004827D4">
              <w:rPr>
                <w:rFonts w:cs="Times New Roman"/>
                <w:color w:val="000000"/>
                <w:kern w:val="0"/>
                <w:szCs w:val="24"/>
              </w:rPr>
              <w:t>16.94%</w:t>
            </w:r>
            <w:r w:rsidRPr="004827D4">
              <w:rPr>
                <w:rFonts w:cs="Times New Roman"/>
                <w:color w:val="000000"/>
                <w:kern w:val="0"/>
                <w:szCs w:val="24"/>
              </w:rPr>
              <w:t>；归母净利润</w:t>
            </w:r>
            <w:r w:rsidRPr="004827D4">
              <w:rPr>
                <w:rFonts w:cs="Times New Roman"/>
                <w:color w:val="000000"/>
                <w:kern w:val="0"/>
                <w:szCs w:val="24"/>
              </w:rPr>
              <w:t>5763.1</w:t>
            </w:r>
            <w:r w:rsidRPr="004827D4">
              <w:rPr>
                <w:rFonts w:cs="Times New Roman"/>
                <w:color w:val="000000"/>
                <w:kern w:val="0"/>
                <w:szCs w:val="24"/>
              </w:rPr>
              <w:t>万元，同比增长约</w:t>
            </w:r>
            <w:r w:rsidRPr="004827D4">
              <w:rPr>
                <w:rFonts w:cs="Times New Roman"/>
                <w:color w:val="000000"/>
                <w:kern w:val="0"/>
                <w:szCs w:val="24"/>
              </w:rPr>
              <w:t>4.35%</w:t>
            </w:r>
            <w:r w:rsidRPr="004827D4">
              <w:rPr>
                <w:rFonts w:cs="Times New Roman"/>
                <w:color w:val="000000"/>
                <w:kern w:val="0"/>
                <w:szCs w:val="24"/>
              </w:rPr>
              <w:t>，环比增长约</w:t>
            </w:r>
            <w:r w:rsidRPr="004827D4">
              <w:rPr>
                <w:rFonts w:cs="Times New Roman"/>
                <w:color w:val="000000"/>
                <w:kern w:val="0"/>
                <w:szCs w:val="24"/>
              </w:rPr>
              <w:t>74.74%</w:t>
            </w:r>
            <w:r w:rsidRPr="004827D4">
              <w:rPr>
                <w:rFonts w:cs="Times New Roman"/>
                <w:color w:val="000000"/>
                <w:kern w:val="0"/>
                <w:szCs w:val="24"/>
              </w:rPr>
              <w:t>，是近几个季度以来较为理想的业绩表现，经营面实现回升。</w:t>
            </w:r>
          </w:p>
          <w:p w14:paraId="3D338125" w14:textId="77777777" w:rsidR="004827D4" w:rsidRPr="004827D4" w:rsidRDefault="004827D4" w:rsidP="00A1655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cs="Times New Roman"/>
                <w:color w:val="000000"/>
                <w:kern w:val="0"/>
                <w:szCs w:val="24"/>
              </w:rPr>
            </w:pPr>
            <w:r w:rsidRPr="004827D4">
              <w:rPr>
                <w:rFonts w:cs="Times New Roman"/>
                <w:color w:val="000000"/>
                <w:kern w:val="0"/>
                <w:szCs w:val="24"/>
              </w:rPr>
              <w:t>展望下半年，随着泰国工厂运营效率持续提升、海内外产能协同逐步优化，以及当前毛利率环比改善态势的延续，公司三、四季度净利率有进一步向好的可能性。</w:t>
            </w:r>
          </w:p>
          <w:p w14:paraId="7BEE3264" w14:textId="77777777" w:rsidR="004827D4" w:rsidRPr="004827D4" w:rsidRDefault="004827D4" w:rsidP="00A1655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cs="Times New Roman"/>
                <w:color w:val="000000"/>
                <w:kern w:val="0"/>
                <w:szCs w:val="24"/>
              </w:rPr>
            </w:pPr>
            <w:r w:rsidRPr="004827D4">
              <w:rPr>
                <w:rFonts w:cs="Times New Roman"/>
                <w:color w:val="000000"/>
                <w:kern w:val="0"/>
                <w:szCs w:val="24"/>
              </w:rPr>
              <w:t>以上涉及公司未来经营计划、发展战略等前瞻性描述，不构成公司对投资者的实质性承诺，请投资者注意投资风险。感谢您的关注！</w:t>
            </w:r>
          </w:p>
          <w:p w14:paraId="19EA7E75" w14:textId="197B659A" w:rsidR="002541A0" w:rsidRPr="002541A0" w:rsidRDefault="002541A0" w:rsidP="004E4B46">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both"/>
            </w:pPr>
          </w:p>
        </w:tc>
      </w:tr>
      <w:tr w:rsidR="00921492" w14:paraId="4F125A68" w14:textId="77777777" w:rsidTr="00BA04C6">
        <w:tc>
          <w:tcPr>
            <w:tcW w:w="2405" w:type="dxa"/>
            <w:vAlign w:val="center"/>
          </w:tcPr>
          <w:p w14:paraId="6F71250E" w14:textId="77777777" w:rsidR="00921492" w:rsidRDefault="00921492" w:rsidP="00921492">
            <w:pPr>
              <w:jc w:val="center"/>
              <w:rPr>
                <w:b/>
                <w:bCs/>
                <w:szCs w:val="24"/>
              </w:rPr>
            </w:pPr>
            <w:r w:rsidRPr="00A34579">
              <w:rPr>
                <w:rFonts w:hint="eastAsia"/>
                <w:b/>
                <w:bCs/>
                <w:szCs w:val="24"/>
              </w:rPr>
              <w:lastRenderedPageBreak/>
              <w:t>附件清单（如有）</w:t>
            </w:r>
          </w:p>
        </w:tc>
        <w:tc>
          <w:tcPr>
            <w:tcW w:w="5891" w:type="dxa"/>
          </w:tcPr>
          <w:p w14:paraId="62A78125" w14:textId="77777777" w:rsidR="00921492" w:rsidRPr="003B57BB" w:rsidRDefault="00921492" w:rsidP="0092149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jc w:val="left"/>
              <w:rPr>
                <w:rFonts w:cs="Times New Roman"/>
                <w:bCs/>
                <w:color w:val="000000"/>
                <w:kern w:val="0"/>
                <w:szCs w:val="24"/>
              </w:rPr>
            </w:pPr>
            <w:r>
              <w:rPr>
                <w:rFonts w:cs="Times New Roman" w:hint="eastAsia"/>
                <w:bCs/>
                <w:color w:val="000000"/>
                <w:kern w:val="0"/>
                <w:szCs w:val="24"/>
              </w:rPr>
              <w:t>无</w:t>
            </w:r>
          </w:p>
        </w:tc>
      </w:tr>
      <w:tr w:rsidR="00921492" w14:paraId="4CA5A84C" w14:textId="77777777" w:rsidTr="00BA04C6">
        <w:tc>
          <w:tcPr>
            <w:tcW w:w="2405" w:type="dxa"/>
            <w:vAlign w:val="center"/>
          </w:tcPr>
          <w:p w14:paraId="0E232C30" w14:textId="77777777" w:rsidR="00921492" w:rsidRDefault="00921492" w:rsidP="00921492">
            <w:pPr>
              <w:jc w:val="center"/>
              <w:rPr>
                <w:b/>
                <w:bCs/>
                <w:szCs w:val="24"/>
              </w:rPr>
            </w:pPr>
            <w:r>
              <w:rPr>
                <w:rFonts w:hint="eastAsia"/>
                <w:b/>
                <w:bCs/>
                <w:szCs w:val="24"/>
              </w:rPr>
              <w:t>日期</w:t>
            </w:r>
          </w:p>
        </w:tc>
        <w:tc>
          <w:tcPr>
            <w:tcW w:w="5891" w:type="dxa"/>
          </w:tcPr>
          <w:p w14:paraId="7662F032" w14:textId="14758D74" w:rsidR="00921492" w:rsidRPr="003B57BB" w:rsidRDefault="00921492" w:rsidP="0092149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jc w:val="left"/>
              <w:rPr>
                <w:rFonts w:cs="Times New Roman"/>
                <w:bCs/>
                <w:color w:val="000000"/>
                <w:kern w:val="0"/>
                <w:szCs w:val="24"/>
              </w:rPr>
            </w:pPr>
            <w:r w:rsidRPr="005626B7">
              <w:rPr>
                <w:rFonts w:hint="eastAsia"/>
              </w:rPr>
              <w:t>202</w:t>
            </w:r>
            <w:r>
              <w:t>6</w:t>
            </w:r>
            <w:r w:rsidRPr="005626B7">
              <w:rPr>
                <w:rFonts w:hint="eastAsia"/>
              </w:rPr>
              <w:t>年</w:t>
            </w:r>
            <w:r w:rsidR="009C23BA">
              <w:t>9</w:t>
            </w:r>
            <w:r w:rsidRPr="00351852">
              <w:rPr>
                <w:rFonts w:hint="eastAsia"/>
              </w:rPr>
              <w:t>月</w:t>
            </w:r>
            <w:r w:rsidR="009C23BA">
              <w:t>15</w:t>
            </w:r>
            <w:r w:rsidRPr="00351852">
              <w:rPr>
                <w:rFonts w:hint="eastAsia"/>
              </w:rPr>
              <w:t>日</w:t>
            </w:r>
          </w:p>
        </w:tc>
      </w:tr>
      <w:tr w:rsidR="00921492" w14:paraId="6C925ECA" w14:textId="77777777" w:rsidTr="00BA04C6">
        <w:tc>
          <w:tcPr>
            <w:tcW w:w="2405" w:type="dxa"/>
            <w:vAlign w:val="center"/>
          </w:tcPr>
          <w:p w14:paraId="3D9A4C5E" w14:textId="02C3B5E6" w:rsidR="00921492" w:rsidRDefault="00921492" w:rsidP="00921492">
            <w:pPr>
              <w:jc w:val="center"/>
              <w:rPr>
                <w:b/>
                <w:bCs/>
                <w:szCs w:val="24"/>
              </w:rPr>
            </w:pPr>
            <w:r>
              <w:rPr>
                <w:rFonts w:hint="eastAsia"/>
                <w:b/>
                <w:bCs/>
                <w:szCs w:val="24"/>
              </w:rPr>
              <w:t>注意事项</w:t>
            </w:r>
          </w:p>
        </w:tc>
        <w:tc>
          <w:tcPr>
            <w:tcW w:w="5891" w:type="dxa"/>
          </w:tcPr>
          <w:p w14:paraId="63707701" w14:textId="13A8EA29" w:rsidR="00921492" w:rsidRPr="005626B7" w:rsidRDefault="00921492" w:rsidP="0092149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jc w:val="left"/>
            </w:pPr>
            <w:r>
              <w:rPr>
                <w:rFonts w:hint="eastAsia"/>
              </w:rPr>
              <w:t>公司严格遵守信披规则进行投资者交流，如涉及公司未来计划、发展战略等前瞻性描述，不构成公司对投资者的实质性承诺。</w:t>
            </w:r>
          </w:p>
        </w:tc>
      </w:tr>
    </w:tbl>
    <w:p w14:paraId="0A364873" w14:textId="758C0CDF" w:rsidR="00A420A7" w:rsidRDefault="00A420A7">
      <w:pPr>
        <w:spacing w:line="360" w:lineRule="auto"/>
        <w:rPr>
          <w:sz w:val="28"/>
          <w:szCs w:val="28"/>
        </w:rPr>
      </w:pPr>
    </w:p>
    <w:sectPr w:rsidR="00A420A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1904B5" w14:textId="77777777" w:rsidR="00DF1158" w:rsidRDefault="00DF1158" w:rsidP="00557778">
      <w:r>
        <w:separator/>
      </w:r>
    </w:p>
  </w:endnote>
  <w:endnote w:type="continuationSeparator" w:id="0">
    <w:p w14:paraId="310A0D83" w14:textId="77777777" w:rsidR="00DF1158" w:rsidRDefault="00DF1158" w:rsidP="00557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B7AE9E" w14:textId="77777777" w:rsidR="00DF1158" w:rsidRDefault="00DF1158" w:rsidP="00557778">
      <w:r>
        <w:separator/>
      </w:r>
    </w:p>
  </w:footnote>
  <w:footnote w:type="continuationSeparator" w:id="0">
    <w:p w14:paraId="4777E858" w14:textId="77777777" w:rsidR="00DF1158" w:rsidRDefault="00DF1158" w:rsidP="005577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E46"/>
    <w:rsid w:val="000014E5"/>
    <w:rsid w:val="00002108"/>
    <w:rsid w:val="000029A8"/>
    <w:rsid w:val="000036EF"/>
    <w:rsid w:val="00010449"/>
    <w:rsid w:val="000134B8"/>
    <w:rsid w:val="000175F4"/>
    <w:rsid w:val="00021927"/>
    <w:rsid w:val="00021A5C"/>
    <w:rsid w:val="0002659A"/>
    <w:rsid w:val="00033879"/>
    <w:rsid w:val="00040BCD"/>
    <w:rsid w:val="00042DB6"/>
    <w:rsid w:val="00045E85"/>
    <w:rsid w:val="00047372"/>
    <w:rsid w:val="00052D7D"/>
    <w:rsid w:val="00055111"/>
    <w:rsid w:val="000554C7"/>
    <w:rsid w:val="00056D5C"/>
    <w:rsid w:val="00057CD6"/>
    <w:rsid w:val="00063BDB"/>
    <w:rsid w:val="0007461F"/>
    <w:rsid w:val="00077CF0"/>
    <w:rsid w:val="00090836"/>
    <w:rsid w:val="00091E89"/>
    <w:rsid w:val="00096067"/>
    <w:rsid w:val="000A1F77"/>
    <w:rsid w:val="000A2501"/>
    <w:rsid w:val="000A62F8"/>
    <w:rsid w:val="000B0873"/>
    <w:rsid w:val="000B32B5"/>
    <w:rsid w:val="000B492A"/>
    <w:rsid w:val="000B61FC"/>
    <w:rsid w:val="000D2872"/>
    <w:rsid w:val="000D6206"/>
    <w:rsid w:val="000D7483"/>
    <w:rsid w:val="000E1009"/>
    <w:rsid w:val="000E14EC"/>
    <w:rsid w:val="000E157D"/>
    <w:rsid w:val="000E21FA"/>
    <w:rsid w:val="000F1756"/>
    <w:rsid w:val="000F47E4"/>
    <w:rsid w:val="00104DBF"/>
    <w:rsid w:val="00114BF7"/>
    <w:rsid w:val="00115181"/>
    <w:rsid w:val="00116B6E"/>
    <w:rsid w:val="00117C57"/>
    <w:rsid w:val="00120556"/>
    <w:rsid w:val="001306C5"/>
    <w:rsid w:val="00131297"/>
    <w:rsid w:val="00132F11"/>
    <w:rsid w:val="00132FB1"/>
    <w:rsid w:val="00133891"/>
    <w:rsid w:val="00133C6C"/>
    <w:rsid w:val="001376D8"/>
    <w:rsid w:val="001420E6"/>
    <w:rsid w:val="00150EDB"/>
    <w:rsid w:val="00154D5F"/>
    <w:rsid w:val="001569AD"/>
    <w:rsid w:val="001607F1"/>
    <w:rsid w:val="00161893"/>
    <w:rsid w:val="00166EBE"/>
    <w:rsid w:val="00171B17"/>
    <w:rsid w:val="00181CD1"/>
    <w:rsid w:val="00193008"/>
    <w:rsid w:val="001A0EF2"/>
    <w:rsid w:val="001A213D"/>
    <w:rsid w:val="001A2E81"/>
    <w:rsid w:val="001A4458"/>
    <w:rsid w:val="001A5326"/>
    <w:rsid w:val="001B78ED"/>
    <w:rsid w:val="001C1BB4"/>
    <w:rsid w:val="001C57CD"/>
    <w:rsid w:val="001D42C2"/>
    <w:rsid w:val="001E6AB3"/>
    <w:rsid w:val="001F0F88"/>
    <w:rsid w:val="001F3128"/>
    <w:rsid w:val="001F4849"/>
    <w:rsid w:val="001F60E6"/>
    <w:rsid w:val="001F6334"/>
    <w:rsid w:val="00204DC6"/>
    <w:rsid w:val="0020500F"/>
    <w:rsid w:val="0020508B"/>
    <w:rsid w:val="002050F1"/>
    <w:rsid w:val="00213751"/>
    <w:rsid w:val="00214B30"/>
    <w:rsid w:val="00226484"/>
    <w:rsid w:val="00230B1A"/>
    <w:rsid w:val="002335D9"/>
    <w:rsid w:val="0023386B"/>
    <w:rsid w:val="00236B9F"/>
    <w:rsid w:val="00250E9A"/>
    <w:rsid w:val="0025162C"/>
    <w:rsid w:val="0025215E"/>
    <w:rsid w:val="00252A3A"/>
    <w:rsid w:val="002541A0"/>
    <w:rsid w:val="00260999"/>
    <w:rsid w:val="0026202F"/>
    <w:rsid w:val="00262CBF"/>
    <w:rsid w:val="00276662"/>
    <w:rsid w:val="00282318"/>
    <w:rsid w:val="00292221"/>
    <w:rsid w:val="00296506"/>
    <w:rsid w:val="002A01E9"/>
    <w:rsid w:val="002A30FA"/>
    <w:rsid w:val="002A53D8"/>
    <w:rsid w:val="002A7549"/>
    <w:rsid w:val="002B3503"/>
    <w:rsid w:val="002B39ED"/>
    <w:rsid w:val="002B5302"/>
    <w:rsid w:val="002C2231"/>
    <w:rsid w:val="002C7C60"/>
    <w:rsid w:val="002D51E2"/>
    <w:rsid w:val="002F238B"/>
    <w:rsid w:val="003017EA"/>
    <w:rsid w:val="003027DC"/>
    <w:rsid w:val="00305DC2"/>
    <w:rsid w:val="00314C43"/>
    <w:rsid w:val="003151B9"/>
    <w:rsid w:val="00315BA8"/>
    <w:rsid w:val="003237DA"/>
    <w:rsid w:val="00323F5B"/>
    <w:rsid w:val="00324632"/>
    <w:rsid w:val="00324FE5"/>
    <w:rsid w:val="00327448"/>
    <w:rsid w:val="00327D75"/>
    <w:rsid w:val="0033003D"/>
    <w:rsid w:val="0033035C"/>
    <w:rsid w:val="00333F4C"/>
    <w:rsid w:val="00334F0B"/>
    <w:rsid w:val="00336765"/>
    <w:rsid w:val="00344FEF"/>
    <w:rsid w:val="00357F9B"/>
    <w:rsid w:val="00360325"/>
    <w:rsid w:val="003609DA"/>
    <w:rsid w:val="00370F08"/>
    <w:rsid w:val="00372319"/>
    <w:rsid w:val="00376D24"/>
    <w:rsid w:val="00386512"/>
    <w:rsid w:val="00392D0E"/>
    <w:rsid w:val="00393B6C"/>
    <w:rsid w:val="003959FE"/>
    <w:rsid w:val="003973DC"/>
    <w:rsid w:val="003A2BE2"/>
    <w:rsid w:val="003A3A46"/>
    <w:rsid w:val="003A7DA1"/>
    <w:rsid w:val="003B7CC6"/>
    <w:rsid w:val="003C1D88"/>
    <w:rsid w:val="003C353E"/>
    <w:rsid w:val="003D22DD"/>
    <w:rsid w:val="003D63FB"/>
    <w:rsid w:val="003E020B"/>
    <w:rsid w:val="003E249A"/>
    <w:rsid w:val="003F3C92"/>
    <w:rsid w:val="003F3DCC"/>
    <w:rsid w:val="003F5BD9"/>
    <w:rsid w:val="003F6639"/>
    <w:rsid w:val="004007CC"/>
    <w:rsid w:val="00404A17"/>
    <w:rsid w:val="00406324"/>
    <w:rsid w:val="00406C76"/>
    <w:rsid w:val="0041033E"/>
    <w:rsid w:val="00415DD0"/>
    <w:rsid w:val="00420ED8"/>
    <w:rsid w:val="0043547E"/>
    <w:rsid w:val="0043674E"/>
    <w:rsid w:val="00436B4E"/>
    <w:rsid w:val="00441D1E"/>
    <w:rsid w:val="00451646"/>
    <w:rsid w:val="0045417E"/>
    <w:rsid w:val="00473B09"/>
    <w:rsid w:val="004754E9"/>
    <w:rsid w:val="004827D4"/>
    <w:rsid w:val="004835AE"/>
    <w:rsid w:val="00487734"/>
    <w:rsid w:val="00496ED9"/>
    <w:rsid w:val="004B3CF3"/>
    <w:rsid w:val="004B4BE6"/>
    <w:rsid w:val="004B75A0"/>
    <w:rsid w:val="004D14E3"/>
    <w:rsid w:val="004D68EA"/>
    <w:rsid w:val="004D7215"/>
    <w:rsid w:val="004D7CD0"/>
    <w:rsid w:val="004E1B4F"/>
    <w:rsid w:val="004E2D26"/>
    <w:rsid w:val="004E40CA"/>
    <w:rsid w:val="004E4663"/>
    <w:rsid w:val="004E4B46"/>
    <w:rsid w:val="004E50FE"/>
    <w:rsid w:val="004F6B07"/>
    <w:rsid w:val="004F7526"/>
    <w:rsid w:val="00503D49"/>
    <w:rsid w:val="00504297"/>
    <w:rsid w:val="00513BB5"/>
    <w:rsid w:val="00515052"/>
    <w:rsid w:val="00524405"/>
    <w:rsid w:val="00524835"/>
    <w:rsid w:val="00527479"/>
    <w:rsid w:val="00536994"/>
    <w:rsid w:val="0054149D"/>
    <w:rsid w:val="005507BF"/>
    <w:rsid w:val="00551259"/>
    <w:rsid w:val="00557778"/>
    <w:rsid w:val="00560F9A"/>
    <w:rsid w:val="005727E9"/>
    <w:rsid w:val="00574E64"/>
    <w:rsid w:val="00576C08"/>
    <w:rsid w:val="00583C04"/>
    <w:rsid w:val="00591A2E"/>
    <w:rsid w:val="00592747"/>
    <w:rsid w:val="00592855"/>
    <w:rsid w:val="00593157"/>
    <w:rsid w:val="005933F7"/>
    <w:rsid w:val="005963FF"/>
    <w:rsid w:val="00597DF1"/>
    <w:rsid w:val="005A145A"/>
    <w:rsid w:val="005A27CF"/>
    <w:rsid w:val="005A3F02"/>
    <w:rsid w:val="005A6980"/>
    <w:rsid w:val="005B0660"/>
    <w:rsid w:val="005B1062"/>
    <w:rsid w:val="005B5835"/>
    <w:rsid w:val="005C2AEB"/>
    <w:rsid w:val="005C35E9"/>
    <w:rsid w:val="005C680E"/>
    <w:rsid w:val="005C7E69"/>
    <w:rsid w:val="005D3AE7"/>
    <w:rsid w:val="005D78E4"/>
    <w:rsid w:val="005E4B49"/>
    <w:rsid w:val="005F2F67"/>
    <w:rsid w:val="005F39A2"/>
    <w:rsid w:val="005F70A6"/>
    <w:rsid w:val="005F7E40"/>
    <w:rsid w:val="0060318B"/>
    <w:rsid w:val="00603BC7"/>
    <w:rsid w:val="00604E74"/>
    <w:rsid w:val="0060500E"/>
    <w:rsid w:val="006055FC"/>
    <w:rsid w:val="00605E6F"/>
    <w:rsid w:val="006123B6"/>
    <w:rsid w:val="00612988"/>
    <w:rsid w:val="00614B03"/>
    <w:rsid w:val="00615057"/>
    <w:rsid w:val="00616200"/>
    <w:rsid w:val="0061627B"/>
    <w:rsid w:val="00617ABF"/>
    <w:rsid w:val="0062672A"/>
    <w:rsid w:val="00633A62"/>
    <w:rsid w:val="00636384"/>
    <w:rsid w:val="006373E2"/>
    <w:rsid w:val="006424D5"/>
    <w:rsid w:val="00646E50"/>
    <w:rsid w:val="006472E9"/>
    <w:rsid w:val="00650959"/>
    <w:rsid w:val="00650DE2"/>
    <w:rsid w:val="00651659"/>
    <w:rsid w:val="00652872"/>
    <w:rsid w:val="0065298A"/>
    <w:rsid w:val="006543E9"/>
    <w:rsid w:val="0065459E"/>
    <w:rsid w:val="00655D89"/>
    <w:rsid w:val="00657AFF"/>
    <w:rsid w:val="00657F64"/>
    <w:rsid w:val="0066009D"/>
    <w:rsid w:val="00661D21"/>
    <w:rsid w:val="006720BA"/>
    <w:rsid w:val="006774C2"/>
    <w:rsid w:val="00680E46"/>
    <w:rsid w:val="00684701"/>
    <w:rsid w:val="00684CB1"/>
    <w:rsid w:val="00686705"/>
    <w:rsid w:val="00696C27"/>
    <w:rsid w:val="006A1921"/>
    <w:rsid w:val="006A341D"/>
    <w:rsid w:val="006B2D96"/>
    <w:rsid w:val="006D2BD8"/>
    <w:rsid w:val="006D3998"/>
    <w:rsid w:val="006D7B8B"/>
    <w:rsid w:val="006E45FC"/>
    <w:rsid w:val="006E62FA"/>
    <w:rsid w:val="006E7FC3"/>
    <w:rsid w:val="006F15BD"/>
    <w:rsid w:val="006F3AEB"/>
    <w:rsid w:val="006F7C37"/>
    <w:rsid w:val="007020F8"/>
    <w:rsid w:val="00712417"/>
    <w:rsid w:val="007268B6"/>
    <w:rsid w:val="00736D61"/>
    <w:rsid w:val="00740DEE"/>
    <w:rsid w:val="00741178"/>
    <w:rsid w:val="00743855"/>
    <w:rsid w:val="007454DD"/>
    <w:rsid w:val="007475F2"/>
    <w:rsid w:val="00747689"/>
    <w:rsid w:val="007513F6"/>
    <w:rsid w:val="007561C6"/>
    <w:rsid w:val="00770237"/>
    <w:rsid w:val="00773E29"/>
    <w:rsid w:val="00777EF4"/>
    <w:rsid w:val="00780352"/>
    <w:rsid w:val="00783ABC"/>
    <w:rsid w:val="00791622"/>
    <w:rsid w:val="007977F5"/>
    <w:rsid w:val="007A15A0"/>
    <w:rsid w:val="007A26CB"/>
    <w:rsid w:val="007A4280"/>
    <w:rsid w:val="007A71D0"/>
    <w:rsid w:val="007C09DB"/>
    <w:rsid w:val="007C3205"/>
    <w:rsid w:val="007C69AE"/>
    <w:rsid w:val="007C7F07"/>
    <w:rsid w:val="007D031B"/>
    <w:rsid w:val="007D08B2"/>
    <w:rsid w:val="007D2314"/>
    <w:rsid w:val="007D6985"/>
    <w:rsid w:val="007E25A3"/>
    <w:rsid w:val="007E479C"/>
    <w:rsid w:val="007E5042"/>
    <w:rsid w:val="007E572E"/>
    <w:rsid w:val="007E60A9"/>
    <w:rsid w:val="007F1196"/>
    <w:rsid w:val="007F1953"/>
    <w:rsid w:val="008053BF"/>
    <w:rsid w:val="00805806"/>
    <w:rsid w:val="00811D48"/>
    <w:rsid w:val="00820B23"/>
    <w:rsid w:val="00820FD4"/>
    <w:rsid w:val="008246BE"/>
    <w:rsid w:val="008257C5"/>
    <w:rsid w:val="008347A6"/>
    <w:rsid w:val="0084029C"/>
    <w:rsid w:val="008420A8"/>
    <w:rsid w:val="00843043"/>
    <w:rsid w:val="00844A44"/>
    <w:rsid w:val="00844EF7"/>
    <w:rsid w:val="0084560A"/>
    <w:rsid w:val="008505C8"/>
    <w:rsid w:val="00853B2E"/>
    <w:rsid w:val="008548D3"/>
    <w:rsid w:val="008551B1"/>
    <w:rsid w:val="008576F8"/>
    <w:rsid w:val="00874C35"/>
    <w:rsid w:val="008803CA"/>
    <w:rsid w:val="00880942"/>
    <w:rsid w:val="00884DA4"/>
    <w:rsid w:val="008854B4"/>
    <w:rsid w:val="00887595"/>
    <w:rsid w:val="0088795A"/>
    <w:rsid w:val="00894CC5"/>
    <w:rsid w:val="008A50D0"/>
    <w:rsid w:val="008A604D"/>
    <w:rsid w:val="008B0001"/>
    <w:rsid w:val="008B621A"/>
    <w:rsid w:val="008B73B2"/>
    <w:rsid w:val="008C06CD"/>
    <w:rsid w:val="008C089E"/>
    <w:rsid w:val="008C7EAC"/>
    <w:rsid w:val="008E3BD9"/>
    <w:rsid w:val="008F139A"/>
    <w:rsid w:val="008F5BD9"/>
    <w:rsid w:val="008F719C"/>
    <w:rsid w:val="00901E3D"/>
    <w:rsid w:val="00920707"/>
    <w:rsid w:val="00921492"/>
    <w:rsid w:val="00927E7D"/>
    <w:rsid w:val="00930A03"/>
    <w:rsid w:val="00932A97"/>
    <w:rsid w:val="00937B47"/>
    <w:rsid w:val="0094139E"/>
    <w:rsid w:val="009469EF"/>
    <w:rsid w:val="00947F43"/>
    <w:rsid w:val="0095414D"/>
    <w:rsid w:val="00954F56"/>
    <w:rsid w:val="009603CE"/>
    <w:rsid w:val="00962982"/>
    <w:rsid w:val="009737E3"/>
    <w:rsid w:val="009778DB"/>
    <w:rsid w:val="009A4708"/>
    <w:rsid w:val="009A4A0D"/>
    <w:rsid w:val="009C14A7"/>
    <w:rsid w:val="009C23BA"/>
    <w:rsid w:val="009C3000"/>
    <w:rsid w:val="009C5944"/>
    <w:rsid w:val="009D05E4"/>
    <w:rsid w:val="009D4673"/>
    <w:rsid w:val="009D6344"/>
    <w:rsid w:val="009E5973"/>
    <w:rsid w:val="009F1508"/>
    <w:rsid w:val="009F4679"/>
    <w:rsid w:val="009F4B81"/>
    <w:rsid w:val="00A035BE"/>
    <w:rsid w:val="00A04D5A"/>
    <w:rsid w:val="00A0558B"/>
    <w:rsid w:val="00A10B09"/>
    <w:rsid w:val="00A14A7A"/>
    <w:rsid w:val="00A16551"/>
    <w:rsid w:val="00A17798"/>
    <w:rsid w:val="00A21FCA"/>
    <w:rsid w:val="00A223AC"/>
    <w:rsid w:val="00A300B7"/>
    <w:rsid w:val="00A34579"/>
    <w:rsid w:val="00A373E4"/>
    <w:rsid w:val="00A41A60"/>
    <w:rsid w:val="00A420A7"/>
    <w:rsid w:val="00A4574B"/>
    <w:rsid w:val="00A561C8"/>
    <w:rsid w:val="00A621A0"/>
    <w:rsid w:val="00A738CA"/>
    <w:rsid w:val="00A7435B"/>
    <w:rsid w:val="00A75482"/>
    <w:rsid w:val="00A81F94"/>
    <w:rsid w:val="00A94575"/>
    <w:rsid w:val="00A95BB1"/>
    <w:rsid w:val="00A979FE"/>
    <w:rsid w:val="00AA1177"/>
    <w:rsid w:val="00AA1D93"/>
    <w:rsid w:val="00AA3193"/>
    <w:rsid w:val="00AA6E3C"/>
    <w:rsid w:val="00AB4FCC"/>
    <w:rsid w:val="00AB7064"/>
    <w:rsid w:val="00AC6393"/>
    <w:rsid w:val="00AC6B42"/>
    <w:rsid w:val="00AC7A33"/>
    <w:rsid w:val="00AD298A"/>
    <w:rsid w:val="00AD2EB8"/>
    <w:rsid w:val="00AD7D91"/>
    <w:rsid w:val="00AF36E2"/>
    <w:rsid w:val="00AF45CE"/>
    <w:rsid w:val="00B05389"/>
    <w:rsid w:val="00B06213"/>
    <w:rsid w:val="00B0631E"/>
    <w:rsid w:val="00B06D0C"/>
    <w:rsid w:val="00B12B85"/>
    <w:rsid w:val="00B14D22"/>
    <w:rsid w:val="00B2123C"/>
    <w:rsid w:val="00B214A5"/>
    <w:rsid w:val="00B2151B"/>
    <w:rsid w:val="00B26969"/>
    <w:rsid w:val="00B35FAD"/>
    <w:rsid w:val="00B35FB6"/>
    <w:rsid w:val="00B42366"/>
    <w:rsid w:val="00B46C12"/>
    <w:rsid w:val="00B50364"/>
    <w:rsid w:val="00B54B04"/>
    <w:rsid w:val="00B61958"/>
    <w:rsid w:val="00B65403"/>
    <w:rsid w:val="00B67AA8"/>
    <w:rsid w:val="00B67DB2"/>
    <w:rsid w:val="00B7167A"/>
    <w:rsid w:val="00B71EE6"/>
    <w:rsid w:val="00B72526"/>
    <w:rsid w:val="00B73F58"/>
    <w:rsid w:val="00B831DB"/>
    <w:rsid w:val="00B84A33"/>
    <w:rsid w:val="00B85C9E"/>
    <w:rsid w:val="00B922FC"/>
    <w:rsid w:val="00B93FD6"/>
    <w:rsid w:val="00B94BE9"/>
    <w:rsid w:val="00B96C37"/>
    <w:rsid w:val="00BA04C6"/>
    <w:rsid w:val="00BA0DE9"/>
    <w:rsid w:val="00BA2C05"/>
    <w:rsid w:val="00BA3F2D"/>
    <w:rsid w:val="00BB16F0"/>
    <w:rsid w:val="00BB27B5"/>
    <w:rsid w:val="00BB344D"/>
    <w:rsid w:val="00BB7111"/>
    <w:rsid w:val="00BC5FF6"/>
    <w:rsid w:val="00BC7730"/>
    <w:rsid w:val="00BD276A"/>
    <w:rsid w:val="00BD3593"/>
    <w:rsid w:val="00BD4515"/>
    <w:rsid w:val="00BD7244"/>
    <w:rsid w:val="00BE2738"/>
    <w:rsid w:val="00BE4A82"/>
    <w:rsid w:val="00BE5828"/>
    <w:rsid w:val="00BE6D67"/>
    <w:rsid w:val="00BF42D5"/>
    <w:rsid w:val="00C007FC"/>
    <w:rsid w:val="00C0127B"/>
    <w:rsid w:val="00C01FFD"/>
    <w:rsid w:val="00C0312E"/>
    <w:rsid w:val="00C0524D"/>
    <w:rsid w:val="00C0625A"/>
    <w:rsid w:val="00C1234A"/>
    <w:rsid w:val="00C13F64"/>
    <w:rsid w:val="00C219DA"/>
    <w:rsid w:val="00C27740"/>
    <w:rsid w:val="00C32228"/>
    <w:rsid w:val="00C334DE"/>
    <w:rsid w:val="00C34390"/>
    <w:rsid w:val="00C37E35"/>
    <w:rsid w:val="00C40C06"/>
    <w:rsid w:val="00C40EDC"/>
    <w:rsid w:val="00C41AC7"/>
    <w:rsid w:val="00C42DBC"/>
    <w:rsid w:val="00C61BAE"/>
    <w:rsid w:val="00C671BA"/>
    <w:rsid w:val="00C702DC"/>
    <w:rsid w:val="00C7125A"/>
    <w:rsid w:val="00C73AD4"/>
    <w:rsid w:val="00C74AA6"/>
    <w:rsid w:val="00C803DE"/>
    <w:rsid w:val="00C8202E"/>
    <w:rsid w:val="00C860EC"/>
    <w:rsid w:val="00C91194"/>
    <w:rsid w:val="00C937B6"/>
    <w:rsid w:val="00C964A5"/>
    <w:rsid w:val="00C96A0D"/>
    <w:rsid w:val="00CA53C9"/>
    <w:rsid w:val="00CA79CD"/>
    <w:rsid w:val="00CB60B0"/>
    <w:rsid w:val="00CC1E98"/>
    <w:rsid w:val="00CC2117"/>
    <w:rsid w:val="00CC4CA1"/>
    <w:rsid w:val="00CD0630"/>
    <w:rsid w:val="00CD1459"/>
    <w:rsid w:val="00CD6A88"/>
    <w:rsid w:val="00CD7DDE"/>
    <w:rsid w:val="00CE28FC"/>
    <w:rsid w:val="00CE7BB5"/>
    <w:rsid w:val="00CF3702"/>
    <w:rsid w:val="00D04D68"/>
    <w:rsid w:val="00D06124"/>
    <w:rsid w:val="00D06A1F"/>
    <w:rsid w:val="00D1348A"/>
    <w:rsid w:val="00D13A49"/>
    <w:rsid w:val="00D15584"/>
    <w:rsid w:val="00D257B6"/>
    <w:rsid w:val="00D274BA"/>
    <w:rsid w:val="00D37973"/>
    <w:rsid w:val="00D41088"/>
    <w:rsid w:val="00D46872"/>
    <w:rsid w:val="00D5070F"/>
    <w:rsid w:val="00D51225"/>
    <w:rsid w:val="00D520CE"/>
    <w:rsid w:val="00D5293B"/>
    <w:rsid w:val="00D54925"/>
    <w:rsid w:val="00D54C82"/>
    <w:rsid w:val="00D55233"/>
    <w:rsid w:val="00D6137E"/>
    <w:rsid w:val="00D62EB0"/>
    <w:rsid w:val="00D668DF"/>
    <w:rsid w:val="00D67F43"/>
    <w:rsid w:val="00D73741"/>
    <w:rsid w:val="00D85888"/>
    <w:rsid w:val="00D9362A"/>
    <w:rsid w:val="00D94973"/>
    <w:rsid w:val="00D9744F"/>
    <w:rsid w:val="00DA058B"/>
    <w:rsid w:val="00DB4F87"/>
    <w:rsid w:val="00DB51BD"/>
    <w:rsid w:val="00DB67DA"/>
    <w:rsid w:val="00DC0644"/>
    <w:rsid w:val="00DC06AC"/>
    <w:rsid w:val="00DC5E46"/>
    <w:rsid w:val="00DC697E"/>
    <w:rsid w:val="00DC77BD"/>
    <w:rsid w:val="00DD43A1"/>
    <w:rsid w:val="00DE1D56"/>
    <w:rsid w:val="00DF1158"/>
    <w:rsid w:val="00DF3EA8"/>
    <w:rsid w:val="00DF690E"/>
    <w:rsid w:val="00E14B5D"/>
    <w:rsid w:val="00E16B4F"/>
    <w:rsid w:val="00E17038"/>
    <w:rsid w:val="00E20C5A"/>
    <w:rsid w:val="00E21593"/>
    <w:rsid w:val="00E27F77"/>
    <w:rsid w:val="00E36C09"/>
    <w:rsid w:val="00E43076"/>
    <w:rsid w:val="00E44069"/>
    <w:rsid w:val="00E53E6F"/>
    <w:rsid w:val="00E542C1"/>
    <w:rsid w:val="00E549AF"/>
    <w:rsid w:val="00E6160D"/>
    <w:rsid w:val="00E63CA6"/>
    <w:rsid w:val="00E640E3"/>
    <w:rsid w:val="00E748FB"/>
    <w:rsid w:val="00E9000F"/>
    <w:rsid w:val="00E93757"/>
    <w:rsid w:val="00E9482C"/>
    <w:rsid w:val="00EA22F4"/>
    <w:rsid w:val="00EA5E6A"/>
    <w:rsid w:val="00EB0CC3"/>
    <w:rsid w:val="00EB206E"/>
    <w:rsid w:val="00EB39D3"/>
    <w:rsid w:val="00EC3495"/>
    <w:rsid w:val="00EC393D"/>
    <w:rsid w:val="00EC6A92"/>
    <w:rsid w:val="00ED015D"/>
    <w:rsid w:val="00ED16CD"/>
    <w:rsid w:val="00EE13D6"/>
    <w:rsid w:val="00EE418A"/>
    <w:rsid w:val="00EF2C82"/>
    <w:rsid w:val="00EF5E31"/>
    <w:rsid w:val="00EF6033"/>
    <w:rsid w:val="00EF6BC4"/>
    <w:rsid w:val="00EF7B93"/>
    <w:rsid w:val="00F06FD5"/>
    <w:rsid w:val="00F12441"/>
    <w:rsid w:val="00F134D6"/>
    <w:rsid w:val="00F15CB9"/>
    <w:rsid w:val="00F1752A"/>
    <w:rsid w:val="00F2234D"/>
    <w:rsid w:val="00F32448"/>
    <w:rsid w:val="00F3435B"/>
    <w:rsid w:val="00F42D70"/>
    <w:rsid w:val="00F44227"/>
    <w:rsid w:val="00F5109F"/>
    <w:rsid w:val="00F57B30"/>
    <w:rsid w:val="00F6536A"/>
    <w:rsid w:val="00F70E7E"/>
    <w:rsid w:val="00F70F3B"/>
    <w:rsid w:val="00F71635"/>
    <w:rsid w:val="00F747FC"/>
    <w:rsid w:val="00F81CAF"/>
    <w:rsid w:val="00FA064C"/>
    <w:rsid w:val="00FA0EFC"/>
    <w:rsid w:val="00FA238A"/>
    <w:rsid w:val="00FA4A7B"/>
    <w:rsid w:val="00FB370C"/>
    <w:rsid w:val="00FC0920"/>
    <w:rsid w:val="00FC6047"/>
    <w:rsid w:val="00FC610C"/>
    <w:rsid w:val="00FD07FE"/>
    <w:rsid w:val="00FD1720"/>
    <w:rsid w:val="00FD1A4E"/>
    <w:rsid w:val="00FD2A81"/>
    <w:rsid w:val="00FD323E"/>
    <w:rsid w:val="00FD68B5"/>
    <w:rsid w:val="00FE2ADE"/>
    <w:rsid w:val="00FE368A"/>
    <w:rsid w:val="00FF38BE"/>
    <w:rsid w:val="00FF767C"/>
    <w:rsid w:val="408E30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B24650"/>
  <w15:docId w15:val="{FD4E0752-BB1D-42D8-82E7-5D4FFE18A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kern w:val="2"/>
      <w:sz w:val="24"/>
      <w:szCs w:val="22"/>
    </w:rPr>
  </w:style>
  <w:style w:type="paragraph" w:styleId="3">
    <w:name w:val="heading 3"/>
    <w:basedOn w:val="a"/>
    <w:link w:val="3Char"/>
    <w:uiPriority w:val="9"/>
    <w:qFormat/>
    <w:rsid w:val="00133C6C"/>
    <w:pPr>
      <w:widowControl/>
      <w:spacing w:before="100" w:beforeAutospacing="1" w:after="100" w:afterAutospacing="1"/>
      <w:jc w:val="left"/>
      <w:outlineLvl w:val="2"/>
    </w:pPr>
    <w:rPr>
      <w:rFonts w:ascii="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Pr>
      <w:sz w:val="18"/>
      <w:szCs w:val="18"/>
    </w:r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paragraph" w:styleId="a5">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批注框文本 Char"/>
    <w:basedOn w:val="a0"/>
    <w:link w:val="a3"/>
    <w:uiPriority w:val="99"/>
    <w:semiHidden/>
    <w:rPr>
      <w:rFonts w:ascii="Times New Roman" w:eastAsia="宋体" w:hAnsi="Times New Roman"/>
      <w:sz w:val="18"/>
      <w:szCs w:val="18"/>
    </w:rPr>
  </w:style>
  <w:style w:type="character" w:customStyle="1" w:styleId="Char1">
    <w:name w:val="页眉 Char"/>
    <w:basedOn w:val="a0"/>
    <w:link w:val="a5"/>
    <w:uiPriority w:val="99"/>
    <w:rPr>
      <w:rFonts w:ascii="Times New Roman" w:eastAsia="宋体" w:hAnsi="Times New Roman"/>
      <w:sz w:val="18"/>
      <w:szCs w:val="18"/>
    </w:rPr>
  </w:style>
  <w:style w:type="character" w:customStyle="1" w:styleId="Char0">
    <w:name w:val="页脚 Char"/>
    <w:basedOn w:val="a0"/>
    <w:link w:val="a4"/>
    <w:uiPriority w:val="99"/>
    <w:qFormat/>
    <w:rPr>
      <w:rFonts w:ascii="Times New Roman" w:eastAsia="宋体" w:hAnsi="Times New Roman"/>
      <w:sz w:val="18"/>
      <w:szCs w:val="18"/>
    </w:rPr>
  </w:style>
  <w:style w:type="character" w:styleId="a7">
    <w:name w:val="Hyperlink"/>
    <w:rsid w:val="00557778"/>
    <w:rPr>
      <w:color w:val="0563C1"/>
      <w:u w:val="single"/>
    </w:rPr>
  </w:style>
  <w:style w:type="paragraph" w:styleId="HTML">
    <w:name w:val="HTML Preformatted"/>
    <w:basedOn w:val="a"/>
    <w:link w:val="HTMLChar"/>
    <w:unhideWhenUsed/>
    <w:qFormat/>
    <w:rsid w:val="00A345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Cs w:val="24"/>
    </w:rPr>
  </w:style>
  <w:style w:type="character" w:customStyle="1" w:styleId="HTMLChar">
    <w:name w:val="HTML 预设格式 Char"/>
    <w:basedOn w:val="a0"/>
    <w:link w:val="HTML"/>
    <w:rsid w:val="00A34579"/>
    <w:rPr>
      <w:rFonts w:ascii="宋体" w:eastAsia="宋体" w:hAnsi="宋体" w:cs="宋体"/>
      <w:sz w:val="24"/>
      <w:szCs w:val="24"/>
    </w:rPr>
  </w:style>
  <w:style w:type="character" w:styleId="a8">
    <w:name w:val="Strong"/>
    <w:basedOn w:val="a0"/>
    <w:qFormat/>
    <w:rsid w:val="00A34579"/>
    <w:rPr>
      <w:b/>
      <w:bCs/>
    </w:rPr>
  </w:style>
  <w:style w:type="paragraph" w:styleId="a9">
    <w:name w:val="Revision"/>
    <w:hidden/>
    <w:uiPriority w:val="99"/>
    <w:semiHidden/>
    <w:rsid w:val="00AC6393"/>
    <w:rPr>
      <w:rFonts w:ascii="Times New Roman" w:eastAsia="宋体" w:hAnsi="Times New Roman"/>
      <w:kern w:val="2"/>
      <w:sz w:val="24"/>
      <w:szCs w:val="22"/>
    </w:rPr>
  </w:style>
  <w:style w:type="character" w:styleId="aa">
    <w:name w:val="annotation reference"/>
    <w:basedOn w:val="a0"/>
    <w:uiPriority w:val="99"/>
    <w:semiHidden/>
    <w:unhideWhenUsed/>
    <w:rsid w:val="00CC1E98"/>
    <w:rPr>
      <w:sz w:val="21"/>
      <w:szCs w:val="21"/>
    </w:rPr>
  </w:style>
  <w:style w:type="paragraph" w:styleId="ab">
    <w:name w:val="annotation text"/>
    <w:basedOn w:val="a"/>
    <w:link w:val="Char2"/>
    <w:uiPriority w:val="99"/>
    <w:unhideWhenUsed/>
    <w:rsid w:val="00CC1E98"/>
    <w:pPr>
      <w:jc w:val="left"/>
    </w:pPr>
  </w:style>
  <w:style w:type="character" w:customStyle="1" w:styleId="Char2">
    <w:name w:val="批注文字 Char"/>
    <w:basedOn w:val="a0"/>
    <w:link w:val="ab"/>
    <w:uiPriority w:val="99"/>
    <w:rsid w:val="00CC1E98"/>
    <w:rPr>
      <w:rFonts w:ascii="Times New Roman" w:eastAsia="宋体" w:hAnsi="Times New Roman"/>
      <w:kern w:val="2"/>
      <w:sz w:val="24"/>
      <w:szCs w:val="22"/>
    </w:rPr>
  </w:style>
  <w:style w:type="paragraph" w:styleId="ac">
    <w:name w:val="annotation subject"/>
    <w:basedOn w:val="ab"/>
    <w:next w:val="ab"/>
    <w:link w:val="Char3"/>
    <w:uiPriority w:val="99"/>
    <w:semiHidden/>
    <w:unhideWhenUsed/>
    <w:rsid w:val="00CC1E98"/>
    <w:rPr>
      <w:b/>
      <w:bCs/>
    </w:rPr>
  </w:style>
  <w:style w:type="character" w:customStyle="1" w:styleId="Char3">
    <w:name w:val="批注主题 Char"/>
    <w:basedOn w:val="Char2"/>
    <w:link w:val="ac"/>
    <w:uiPriority w:val="99"/>
    <w:semiHidden/>
    <w:rsid w:val="00CC1E98"/>
    <w:rPr>
      <w:rFonts w:ascii="Times New Roman" w:eastAsia="宋体" w:hAnsi="Times New Roman"/>
      <w:b/>
      <w:bCs/>
      <w:kern w:val="2"/>
      <w:sz w:val="24"/>
      <w:szCs w:val="22"/>
    </w:rPr>
  </w:style>
  <w:style w:type="character" w:customStyle="1" w:styleId="3Char">
    <w:name w:val="标题 3 Char"/>
    <w:basedOn w:val="a0"/>
    <w:link w:val="3"/>
    <w:uiPriority w:val="9"/>
    <w:rsid w:val="00133C6C"/>
    <w:rPr>
      <w:rFonts w:ascii="宋体" w:eastAsia="宋体" w:hAnsi="宋体" w:cs="宋体"/>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404598">
      <w:bodyDiv w:val="1"/>
      <w:marLeft w:val="0"/>
      <w:marRight w:val="0"/>
      <w:marTop w:val="0"/>
      <w:marBottom w:val="0"/>
      <w:divBdr>
        <w:top w:val="none" w:sz="0" w:space="0" w:color="auto"/>
        <w:left w:val="none" w:sz="0" w:space="0" w:color="auto"/>
        <w:bottom w:val="none" w:sz="0" w:space="0" w:color="auto"/>
        <w:right w:val="none" w:sz="0" w:space="0" w:color="auto"/>
      </w:divBdr>
      <w:divsChild>
        <w:div w:id="1894076769">
          <w:marLeft w:val="0"/>
          <w:marRight w:val="0"/>
          <w:marTop w:val="0"/>
          <w:marBottom w:val="0"/>
          <w:divBdr>
            <w:top w:val="none" w:sz="0" w:space="0" w:color="auto"/>
            <w:left w:val="none" w:sz="0" w:space="0" w:color="auto"/>
            <w:bottom w:val="none" w:sz="0" w:space="0" w:color="auto"/>
            <w:right w:val="none" w:sz="0" w:space="0" w:color="auto"/>
          </w:divBdr>
          <w:divsChild>
            <w:div w:id="46867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27205">
      <w:bodyDiv w:val="1"/>
      <w:marLeft w:val="0"/>
      <w:marRight w:val="0"/>
      <w:marTop w:val="0"/>
      <w:marBottom w:val="0"/>
      <w:divBdr>
        <w:top w:val="none" w:sz="0" w:space="0" w:color="auto"/>
        <w:left w:val="none" w:sz="0" w:space="0" w:color="auto"/>
        <w:bottom w:val="none" w:sz="0" w:space="0" w:color="auto"/>
        <w:right w:val="none" w:sz="0" w:space="0" w:color="auto"/>
      </w:divBdr>
      <w:divsChild>
        <w:div w:id="1175653000">
          <w:marLeft w:val="0"/>
          <w:marRight w:val="0"/>
          <w:marTop w:val="0"/>
          <w:marBottom w:val="0"/>
          <w:divBdr>
            <w:top w:val="none" w:sz="0" w:space="0" w:color="auto"/>
            <w:left w:val="none" w:sz="0" w:space="0" w:color="auto"/>
            <w:bottom w:val="none" w:sz="0" w:space="0" w:color="auto"/>
            <w:right w:val="none" w:sz="0" w:space="0" w:color="auto"/>
          </w:divBdr>
          <w:divsChild>
            <w:div w:id="69658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8045">
      <w:bodyDiv w:val="1"/>
      <w:marLeft w:val="0"/>
      <w:marRight w:val="0"/>
      <w:marTop w:val="0"/>
      <w:marBottom w:val="0"/>
      <w:divBdr>
        <w:top w:val="none" w:sz="0" w:space="0" w:color="auto"/>
        <w:left w:val="none" w:sz="0" w:space="0" w:color="auto"/>
        <w:bottom w:val="none" w:sz="0" w:space="0" w:color="auto"/>
        <w:right w:val="none" w:sz="0" w:space="0" w:color="auto"/>
      </w:divBdr>
      <w:divsChild>
        <w:div w:id="1084107235">
          <w:marLeft w:val="0"/>
          <w:marRight w:val="0"/>
          <w:marTop w:val="0"/>
          <w:marBottom w:val="0"/>
          <w:divBdr>
            <w:top w:val="none" w:sz="0" w:space="0" w:color="auto"/>
            <w:left w:val="none" w:sz="0" w:space="0" w:color="auto"/>
            <w:bottom w:val="none" w:sz="0" w:space="0" w:color="auto"/>
            <w:right w:val="none" w:sz="0" w:space="0" w:color="auto"/>
          </w:divBdr>
        </w:div>
      </w:divsChild>
    </w:div>
    <w:div w:id="234819995">
      <w:bodyDiv w:val="1"/>
      <w:marLeft w:val="0"/>
      <w:marRight w:val="0"/>
      <w:marTop w:val="0"/>
      <w:marBottom w:val="0"/>
      <w:divBdr>
        <w:top w:val="none" w:sz="0" w:space="0" w:color="auto"/>
        <w:left w:val="none" w:sz="0" w:space="0" w:color="auto"/>
        <w:bottom w:val="none" w:sz="0" w:space="0" w:color="auto"/>
        <w:right w:val="none" w:sz="0" w:space="0" w:color="auto"/>
      </w:divBdr>
    </w:div>
    <w:div w:id="300692995">
      <w:bodyDiv w:val="1"/>
      <w:marLeft w:val="0"/>
      <w:marRight w:val="0"/>
      <w:marTop w:val="0"/>
      <w:marBottom w:val="0"/>
      <w:divBdr>
        <w:top w:val="none" w:sz="0" w:space="0" w:color="auto"/>
        <w:left w:val="none" w:sz="0" w:space="0" w:color="auto"/>
        <w:bottom w:val="none" w:sz="0" w:space="0" w:color="auto"/>
        <w:right w:val="none" w:sz="0" w:space="0" w:color="auto"/>
      </w:divBdr>
    </w:div>
    <w:div w:id="398942061">
      <w:bodyDiv w:val="1"/>
      <w:marLeft w:val="0"/>
      <w:marRight w:val="0"/>
      <w:marTop w:val="0"/>
      <w:marBottom w:val="0"/>
      <w:divBdr>
        <w:top w:val="none" w:sz="0" w:space="0" w:color="auto"/>
        <w:left w:val="none" w:sz="0" w:space="0" w:color="auto"/>
        <w:bottom w:val="none" w:sz="0" w:space="0" w:color="auto"/>
        <w:right w:val="none" w:sz="0" w:space="0" w:color="auto"/>
      </w:divBdr>
      <w:divsChild>
        <w:div w:id="639388261">
          <w:marLeft w:val="0"/>
          <w:marRight w:val="0"/>
          <w:marTop w:val="0"/>
          <w:marBottom w:val="0"/>
          <w:divBdr>
            <w:top w:val="none" w:sz="0" w:space="0" w:color="auto"/>
            <w:left w:val="none" w:sz="0" w:space="0" w:color="auto"/>
            <w:bottom w:val="none" w:sz="0" w:space="0" w:color="auto"/>
            <w:right w:val="none" w:sz="0" w:space="0" w:color="auto"/>
          </w:divBdr>
          <w:divsChild>
            <w:div w:id="18667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068875">
      <w:bodyDiv w:val="1"/>
      <w:marLeft w:val="0"/>
      <w:marRight w:val="0"/>
      <w:marTop w:val="0"/>
      <w:marBottom w:val="0"/>
      <w:divBdr>
        <w:top w:val="none" w:sz="0" w:space="0" w:color="auto"/>
        <w:left w:val="none" w:sz="0" w:space="0" w:color="auto"/>
        <w:bottom w:val="none" w:sz="0" w:space="0" w:color="auto"/>
        <w:right w:val="none" w:sz="0" w:space="0" w:color="auto"/>
      </w:divBdr>
      <w:divsChild>
        <w:div w:id="96800973">
          <w:marLeft w:val="0"/>
          <w:marRight w:val="0"/>
          <w:marTop w:val="0"/>
          <w:marBottom w:val="0"/>
          <w:divBdr>
            <w:top w:val="none" w:sz="0" w:space="0" w:color="auto"/>
            <w:left w:val="none" w:sz="0" w:space="0" w:color="auto"/>
            <w:bottom w:val="none" w:sz="0" w:space="0" w:color="auto"/>
            <w:right w:val="none" w:sz="0" w:space="0" w:color="auto"/>
          </w:divBdr>
          <w:divsChild>
            <w:div w:id="186255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198442">
      <w:bodyDiv w:val="1"/>
      <w:marLeft w:val="0"/>
      <w:marRight w:val="0"/>
      <w:marTop w:val="0"/>
      <w:marBottom w:val="0"/>
      <w:divBdr>
        <w:top w:val="none" w:sz="0" w:space="0" w:color="auto"/>
        <w:left w:val="none" w:sz="0" w:space="0" w:color="auto"/>
        <w:bottom w:val="none" w:sz="0" w:space="0" w:color="auto"/>
        <w:right w:val="none" w:sz="0" w:space="0" w:color="auto"/>
      </w:divBdr>
    </w:div>
    <w:div w:id="794257435">
      <w:bodyDiv w:val="1"/>
      <w:marLeft w:val="0"/>
      <w:marRight w:val="0"/>
      <w:marTop w:val="0"/>
      <w:marBottom w:val="0"/>
      <w:divBdr>
        <w:top w:val="none" w:sz="0" w:space="0" w:color="auto"/>
        <w:left w:val="none" w:sz="0" w:space="0" w:color="auto"/>
        <w:bottom w:val="none" w:sz="0" w:space="0" w:color="auto"/>
        <w:right w:val="none" w:sz="0" w:space="0" w:color="auto"/>
      </w:divBdr>
    </w:div>
    <w:div w:id="857306137">
      <w:bodyDiv w:val="1"/>
      <w:marLeft w:val="0"/>
      <w:marRight w:val="0"/>
      <w:marTop w:val="0"/>
      <w:marBottom w:val="0"/>
      <w:divBdr>
        <w:top w:val="none" w:sz="0" w:space="0" w:color="auto"/>
        <w:left w:val="none" w:sz="0" w:space="0" w:color="auto"/>
        <w:bottom w:val="none" w:sz="0" w:space="0" w:color="auto"/>
        <w:right w:val="none" w:sz="0" w:space="0" w:color="auto"/>
      </w:divBdr>
      <w:divsChild>
        <w:div w:id="2010256306">
          <w:marLeft w:val="0"/>
          <w:marRight w:val="0"/>
          <w:marTop w:val="0"/>
          <w:marBottom w:val="0"/>
          <w:divBdr>
            <w:top w:val="none" w:sz="0" w:space="0" w:color="auto"/>
            <w:left w:val="none" w:sz="0" w:space="0" w:color="auto"/>
            <w:bottom w:val="none" w:sz="0" w:space="0" w:color="auto"/>
            <w:right w:val="none" w:sz="0" w:space="0" w:color="auto"/>
          </w:divBdr>
          <w:divsChild>
            <w:div w:id="65275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452686">
      <w:bodyDiv w:val="1"/>
      <w:marLeft w:val="0"/>
      <w:marRight w:val="0"/>
      <w:marTop w:val="0"/>
      <w:marBottom w:val="0"/>
      <w:divBdr>
        <w:top w:val="none" w:sz="0" w:space="0" w:color="auto"/>
        <w:left w:val="none" w:sz="0" w:space="0" w:color="auto"/>
        <w:bottom w:val="none" w:sz="0" w:space="0" w:color="auto"/>
        <w:right w:val="none" w:sz="0" w:space="0" w:color="auto"/>
      </w:divBdr>
      <w:divsChild>
        <w:div w:id="1186871725">
          <w:marLeft w:val="0"/>
          <w:marRight w:val="0"/>
          <w:marTop w:val="0"/>
          <w:marBottom w:val="0"/>
          <w:divBdr>
            <w:top w:val="none" w:sz="0" w:space="0" w:color="auto"/>
            <w:left w:val="none" w:sz="0" w:space="0" w:color="auto"/>
            <w:bottom w:val="none" w:sz="0" w:space="0" w:color="auto"/>
            <w:right w:val="none" w:sz="0" w:space="0" w:color="auto"/>
          </w:divBdr>
          <w:divsChild>
            <w:div w:id="65773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765129">
      <w:bodyDiv w:val="1"/>
      <w:marLeft w:val="0"/>
      <w:marRight w:val="0"/>
      <w:marTop w:val="0"/>
      <w:marBottom w:val="0"/>
      <w:divBdr>
        <w:top w:val="none" w:sz="0" w:space="0" w:color="auto"/>
        <w:left w:val="none" w:sz="0" w:space="0" w:color="auto"/>
        <w:bottom w:val="none" w:sz="0" w:space="0" w:color="auto"/>
        <w:right w:val="none" w:sz="0" w:space="0" w:color="auto"/>
      </w:divBdr>
      <w:divsChild>
        <w:div w:id="1180853577">
          <w:marLeft w:val="0"/>
          <w:marRight w:val="0"/>
          <w:marTop w:val="0"/>
          <w:marBottom w:val="0"/>
          <w:divBdr>
            <w:top w:val="none" w:sz="0" w:space="0" w:color="auto"/>
            <w:left w:val="none" w:sz="0" w:space="0" w:color="auto"/>
            <w:bottom w:val="none" w:sz="0" w:space="0" w:color="auto"/>
            <w:right w:val="none" w:sz="0" w:space="0" w:color="auto"/>
          </w:divBdr>
          <w:divsChild>
            <w:div w:id="68355901">
              <w:marLeft w:val="0"/>
              <w:marRight w:val="0"/>
              <w:marTop w:val="0"/>
              <w:marBottom w:val="0"/>
              <w:divBdr>
                <w:top w:val="none" w:sz="0" w:space="0" w:color="auto"/>
                <w:left w:val="none" w:sz="0" w:space="0" w:color="auto"/>
                <w:bottom w:val="none" w:sz="0" w:space="0" w:color="auto"/>
                <w:right w:val="none" w:sz="0" w:space="0" w:color="auto"/>
              </w:divBdr>
            </w:div>
          </w:divsChild>
        </w:div>
        <w:div w:id="931620182">
          <w:marLeft w:val="0"/>
          <w:marRight w:val="0"/>
          <w:marTop w:val="0"/>
          <w:marBottom w:val="0"/>
          <w:divBdr>
            <w:top w:val="none" w:sz="0" w:space="0" w:color="auto"/>
            <w:left w:val="none" w:sz="0" w:space="0" w:color="auto"/>
            <w:bottom w:val="none" w:sz="0" w:space="0" w:color="auto"/>
            <w:right w:val="none" w:sz="0" w:space="0" w:color="auto"/>
          </w:divBdr>
        </w:div>
      </w:divsChild>
    </w:div>
    <w:div w:id="975793259">
      <w:bodyDiv w:val="1"/>
      <w:marLeft w:val="0"/>
      <w:marRight w:val="0"/>
      <w:marTop w:val="0"/>
      <w:marBottom w:val="0"/>
      <w:divBdr>
        <w:top w:val="none" w:sz="0" w:space="0" w:color="auto"/>
        <w:left w:val="none" w:sz="0" w:space="0" w:color="auto"/>
        <w:bottom w:val="none" w:sz="0" w:space="0" w:color="auto"/>
        <w:right w:val="none" w:sz="0" w:space="0" w:color="auto"/>
      </w:divBdr>
      <w:divsChild>
        <w:div w:id="33968847">
          <w:marLeft w:val="0"/>
          <w:marRight w:val="0"/>
          <w:marTop w:val="0"/>
          <w:marBottom w:val="0"/>
          <w:divBdr>
            <w:top w:val="none" w:sz="0" w:space="0" w:color="auto"/>
            <w:left w:val="none" w:sz="0" w:space="0" w:color="auto"/>
            <w:bottom w:val="none" w:sz="0" w:space="0" w:color="auto"/>
            <w:right w:val="none" w:sz="0" w:space="0" w:color="auto"/>
          </w:divBdr>
          <w:divsChild>
            <w:div w:id="2109033761">
              <w:marLeft w:val="0"/>
              <w:marRight w:val="0"/>
              <w:marTop w:val="0"/>
              <w:marBottom w:val="0"/>
              <w:divBdr>
                <w:top w:val="none" w:sz="0" w:space="0" w:color="auto"/>
                <w:left w:val="none" w:sz="0" w:space="0" w:color="auto"/>
                <w:bottom w:val="none" w:sz="0" w:space="0" w:color="auto"/>
                <w:right w:val="none" w:sz="0" w:space="0" w:color="auto"/>
              </w:divBdr>
            </w:div>
          </w:divsChild>
        </w:div>
        <w:div w:id="1702243976">
          <w:marLeft w:val="0"/>
          <w:marRight w:val="0"/>
          <w:marTop w:val="0"/>
          <w:marBottom w:val="0"/>
          <w:divBdr>
            <w:top w:val="none" w:sz="0" w:space="0" w:color="auto"/>
            <w:left w:val="none" w:sz="0" w:space="0" w:color="auto"/>
            <w:bottom w:val="none" w:sz="0" w:space="0" w:color="auto"/>
            <w:right w:val="none" w:sz="0" w:space="0" w:color="auto"/>
          </w:divBdr>
        </w:div>
      </w:divsChild>
    </w:div>
    <w:div w:id="983240105">
      <w:bodyDiv w:val="1"/>
      <w:marLeft w:val="0"/>
      <w:marRight w:val="0"/>
      <w:marTop w:val="0"/>
      <w:marBottom w:val="0"/>
      <w:divBdr>
        <w:top w:val="none" w:sz="0" w:space="0" w:color="auto"/>
        <w:left w:val="none" w:sz="0" w:space="0" w:color="auto"/>
        <w:bottom w:val="none" w:sz="0" w:space="0" w:color="auto"/>
        <w:right w:val="none" w:sz="0" w:space="0" w:color="auto"/>
      </w:divBdr>
      <w:divsChild>
        <w:div w:id="41179591">
          <w:marLeft w:val="0"/>
          <w:marRight w:val="0"/>
          <w:marTop w:val="0"/>
          <w:marBottom w:val="0"/>
          <w:divBdr>
            <w:top w:val="none" w:sz="0" w:space="0" w:color="auto"/>
            <w:left w:val="none" w:sz="0" w:space="0" w:color="auto"/>
            <w:bottom w:val="none" w:sz="0" w:space="0" w:color="auto"/>
            <w:right w:val="none" w:sz="0" w:space="0" w:color="auto"/>
          </w:divBdr>
        </w:div>
      </w:divsChild>
    </w:div>
    <w:div w:id="1012604368">
      <w:bodyDiv w:val="1"/>
      <w:marLeft w:val="0"/>
      <w:marRight w:val="0"/>
      <w:marTop w:val="0"/>
      <w:marBottom w:val="0"/>
      <w:divBdr>
        <w:top w:val="none" w:sz="0" w:space="0" w:color="auto"/>
        <w:left w:val="none" w:sz="0" w:space="0" w:color="auto"/>
        <w:bottom w:val="none" w:sz="0" w:space="0" w:color="auto"/>
        <w:right w:val="none" w:sz="0" w:space="0" w:color="auto"/>
      </w:divBdr>
      <w:divsChild>
        <w:div w:id="496268868">
          <w:marLeft w:val="0"/>
          <w:marRight w:val="0"/>
          <w:marTop w:val="0"/>
          <w:marBottom w:val="0"/>
          <w:divBdr>
            <w:top w:val="none" w:sz="0" w:space="0" w:color="auto"/>
            <w:left w:val="none" w:sz="0" w:space="0" w:color="auto"/>
            <w:bottom w:val="none" w:sz="0" w:space="0" w:color="auto"/>
            <w:right w:val="none" w:sz="0" w:space="0" w:color="auto"/>
          </w:divBdr>
          <w:divsChild>
            <w:div w:id="153068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623242">
      <w:bodyDiv w:val="1"/>
      <w:marLeft w:val="0"/>
      <w:marRight w:val="0"/>
      <w:marTop w:val="0"/>
      <w:marBottom w:val="0"/>
      <w:divBdr>
        <w:top w:val="none" w:sz="0" w:space="0" w:color="auto"/>
        <w:left w:val="none" w:sz="0" w:space="0" w:color="auto"/>
        <w:bottom w:val="none" w:sz="0" w:space="0" w:color="auto"/>
        <w:right w:val="none" w:sz="0" w:space="0" w:color="auto"/>
      </w:divBdr>
      <w:divsChild>
        <w:div w:id="417600378">
          <w:marLeft w:val="0"/>
          <w:marRight w:val="0"/>
          <w:marTop w:val="0"/>
          <w:marBottom w:val="0"/>
          <w:divBdr>
            <w:top w:val="none" w:sz="0" w:space="0" w:color="auto"/>
            <w:left w:val="none" w:sz="0" w:space="0" w:color="auto"/>
            <w:bottom w:val="none" w:sz="0" w:space="0" w:color="auto"/>
            <w:right w:val="none" w:sz="0" w:space="0" w:color="auto"/>
          </w:divBdr>
          <w:divsChild>
            <w:div w:id="158105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7479">
      <w:bodyDiv w:val="1"/>
      <w:marLeft w:val="0"/>
      <w:marRight w:val="0"/>
      <w:marTop w:val="0"/>
      <w:marBottom w:val="0"/>
      <w:divBdr>
        <w:top w:val="none" w:sz="0" w:space="0" w:color="auto"/>
        <w:left w:val="none" w:sz="0" w:space="0" w:color="auto"/>
        <w:bottom w:val="none" w:sz="0" w:space="0" w:color="auto"/>
        <w:right w:val="none" w:sz="0" w:space="0" w:color="auto"/>
      </w:divBdr>
      <w:divsChild>
        <w:div w:id="1465004274">
          <w:marLeft w:val="0"/>
          <w:marRight w:val="0"/>
          <w:marTop w:val="0"/>
          <w:marBottom w:val="0"/>
          <w:divBdr>
            <w:top w:val="none" w:sz="0" w:space="0" w:color="auto"/>
            <w:left w:val="none" w:sz="0" w:space="0" w:color="auto"/>
            <w:bottom w:val="none" w:sz="0" w:space="0" w:color="auto"/>
            <w:right w:val="none" w:sz="0" w:space="0" w:color="auto"/>
          </w:divBdr>
          <w:divsChild>
            <w:div w:id="150550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922236">
      <w:bodyDiv w:val="1"/>
      <w:marLeft w:val="0"/>
      <w:marRight w:val="0"/>
      <w:marTop w:val="0"/>
      <w:marBottom w:val="0"/>
      <w:divBdr>
        <w:top w:val="none" w:sz="0" w:space="0" w:color="auto"/>
        <w:left w:val="none" w:sz="0" w:space="0" w:color="auto"/>
        <w:bottom w:val="none" w:sz="0" w:space="0" w:color="auto"/>
        <w:right w:val="none" w:sz="0" w:space="0" w:color="auto"/>
      </w:divBdr>
      <w:divsChild>
        <w:div w:id="1427120296">
          <w:marLeft w:val="0"/>
          <w:marRight w:val="0"/>
          <w:marTop w:val="0"/>
          <w:marBottom w:val="0"/>
          <w:divBdr>
            <w:top w:val="none" w:sz="0" w:space="0" w:color="auto"/>
            <w:left w:val="none" w:sz="0" w:space="0" w:color="auto"/>
            <w:bottom w:val="none" w:sz="0" w:space="0" w:color="auto"/>
            <w:right w:val="none" w:sz="0" w:space="0" w:color="auto"/>
          </w:divBdr>
        </w:div>
      </w:divsChild>
    </w:div>
    <w:div w:id="1597638929">
      <w:bodyDiv w:val="1"/>
      <w:marLeft w:val="0"/>
      <w:marRight w:val="0"/>
      <w:marTop w:val="0"/>
      <w:marBottom w:val="0"/>
      <w:divBdr>
        <w:top w:val="none" w:sz="0" w:space="0" w:color="auto"/>
        <w:left w:val="none" w:sz="0" w:space="0" w:color="auto"/>
        <w:bottom w:val="none" w:sz="0" w:space="0" w:color="auto"/>
        <w:right w:val="none" w:sz="0" w:space="0" w:color="auto"/>
      </w:divBdr>
      <w:divsChild>
        <w:div w:id="51202165">
          <w:marLeft w:val="0"/>
          <w:marRight w:val="0"/>
          <w:marTop w:val="0"/>
          <w:marBottom w:val="0"/>
          <w:divBdr>
            <w:top w:val="none" w:sz="0" w:space="0" w:color="auto"/>
            <w:left w:val="none" w:sz="0" w:space="0" w:color="auto"/>
            <w:bottom w:val="none" w:sz="0" w:space="0" w:color="auto"/>
            <w:right w:val="none" w:sz="0" w:space="0" w:color="auto"/>
          </w:divBdr>
          <w:divsChild>
            <w:div w:id="89812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651806">
      <w:bodyDiv w:val="1"/>
      <w:marLeft w:val="0"/>
      <w:marRight w:val="0"/>
      <w:marTop w:val="0"/>
      <w:marBottom w:val="0"/>
      <w:divBdr>
        <w:top w:val="none" w:sz="0" w:space="0" w:color="auto"/>
        <w:left w:val="none" w:sz="0" w:space="0" w:color="auto"/>
        <w:bottom w:val="none" w:sz="0" w:space="0" w:color="auto"/>
        <w:right w:val="none" w:sz="0" w:space="0" w:color="auto"/>
      </w:divBdr>
      <w:divsChild>
        <w:div w:id="205875573">
          <w:marLeft w:val="0"/>
          <w:marRight w:val="0"/>
          <w:marTop w:val="0"/>
          <w:marBottom w:val="0"/>
          <w:divBdr>
            <w:top w:val="none" w:sz="0" w:space="0" w:color="auto"/>
            <w:left w:val="none" w:sz="0" w:space="0" w:color="auto"/>
            <w:bottom w:val="none" w:sz="0" w:space="0" w:color="auto"/>
            <w:right w:val="none" w:sz="0" w:space="0" w:color="auto"/>
          </w:divBdr>
        </w:div>
      </w:divsChild>
    </w:div>
    <w:div w:id="1982692078">
      <w:bodyDiv w:val="1"/>
      <w:marLeft w:val="0"/>
      <w:marRight w:val="0"/>
      <w:marTop w:val="0"/>
      <w:marBottom w:val="0"/>
      <w:divBdr>
        <w:top w:val="none" w:sz="0" w:space="0" w:color="auto"/>
        <w:left w:val="none" w:sz="0" w:space="0" w:color="auto"/>
        <w:bottom w:val="none" w:sz="0" w:space="0" w:color="auto"/>
        <w:right w:val="none" w:sz="0" w:space="0" w:color="auto"/>
      </w:divBdr>
      <w:divsChild>
        <w:div w:id="312757033">
          <w:marLeft w:val="0"/>
          <w:marRight w:val="0"/>
          <w:marTop w:val="0"/>
          <w:marBottom w:val="0"/>
          <w:divBdr>
            <w:top w:val="none" w:sz="0" w:space="0" w:color="auto"/>
            <w:left w:val="none" w:sz="0" w:space="0" w:color="auto"/>
            <w:bottom w:val="none" w:sz="0" w:space="0" w:color="auto"/>
            <w:right w:val="none" w:sz="0" w:space="0" w:color="auto"/>
          </w:divBdr>
          <w:divsChild>
            <w:div w:id="141374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8603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oadshow.cnstock.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B86C73-B519-4706-9AC8-754BCA6C4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2344</TotalTime>
  <Pages>4</Pages>
  <Words>382</Words>
  <Characters>2182</Characters>
  <Application>Microsoft Office Word</Application>
  <DocSecurity>0</DocSecurity>
  <Lines>18</Lines>
  <Paragraphs>5</Paragraphs>
  <ScaleCrop>false</ScaleCrop>
  <Company/>
  <LinksUpToDate>false</LinksUpToDate>
  <CharactersWithSpaces>2559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荣大-李雷</dc:creator>
  <cp:lastModifiedBy>内审</cp:lastModifiedBy>
  <cp:revision>451</cp:revision>
  <dcterms:created xsi:type="dcterms:W3CDTF">2020-08-31T03:54:00Z</dcterms:created>
  <dcterms:modified xsi:type="dcterms:W3CDTF">2026-09-15T07:52:00Z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2052-11.1.0.10950</vt:lpwstr>
  </property>
  <property fmtid="{D5CDD505-2E9C-101B-9397-08002B2CF9AE}" pid="3" name="ICV">
    <vt:lpwstr>4692EE691F244CEB96FEAC9D5A4CBF0E</vt:lpwstr>
  </property>
</Properties>
</file>