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7B451">
      <w:pPr>
        <w:pStyle w:val="2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/>
        </w:rPr>
        <w:t>证券代码：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600231</w:t>
      </w:r>
      <w:r>
        <w:rPr>
          <w:rFonts w:hint="eastAsia" w:ascii="宋体" w:hAnsi="宋体" w:eastAsia="宋体" w:cs="宋体"/>
          <w:sz w:val="20"/>
          <w:szCs w:val="20"/>
          <w:lang w:val="en-US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证券简称：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凌钢股份</w:t>
      </w:r>
    </w:p>
    <w:p w14:paraId="488EF88A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 w14:paraId="34FCAA25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凌源钢铁股份有限公司</w:t>
      </w:r>
    </w:p>
    <w:p w14:paraId="3B0EC666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投资者关系活动记录表</w:t>
      </w:r>
    </w:p>
    <w:p w14:paraId="72FAFAA2">
      <w:pPr>
        <w:spacing w:before="51" w:after="32"/>
        <w:ind w:right="619"/>
        <w:jc w:val="right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</w:rPr>
        <w:t>编号：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2026</w:t>
      </w:r>
      <w:r>
        <w:rPr>
          <w:rFonts w:hint="eastAsia" w:ascii="宋体" w:hAnsi="宋体" w:eastAsia="宋体" w:cs="宋体"/>
          <w:sz w:val="20"/>
          <w:szCs w:val="20"/>
        </w:rPr>
        <w:t xml:space="preserve"> -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002</w:t>
      </w:r>
    </w:p>
    <w:tbl>
      <w:tblPr>
        <w:tblStyle w:val="9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 w14:paraId="6298D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 w14:paraId="2D711519">
            <w:pPr>
              <w:pStyle w:val="12"/>
              <w:spacing w:before="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60B6D62C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4CCAF6A3">
            <w:pPr>
              <w:pStyle w:val="12"/>
              <w:spacing w:before="7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5C14442B">
            <w:pPr>
              <w:pStyle w:val="12"/>
              <w:tabs>
                <w:tab w:val="left" w:pos="2418"/>
              </w:tabs>
              <w:spacing w:before="1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调研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析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议</w:t>
            </w:r>
          </w:p>
          <w:p w14:paraId="2DAA101D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03C297F8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媒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体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采访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Wingdings 2" w:hAnsi="Wingdings 2" w:eastAsia="MS Gothic" w:cs="宋体"/>
                    <w:sz w:val="20"/>
                    <w:szCs w:val="20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绩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明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</w:p>
          <w:p w14:paraId="5EAB5704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7FF6919F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新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布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活动</w:t>
            </w:r>
          </w:p>
          <w:p w14:paraId="34DA4DAA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181BDE3F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现场参观</w:t>
            </w:r>
          </w:p>
          <w:p w14:paraId="22C065FA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0C1CF975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其他（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</w:rPr>
              <w:t>请文字说明其他活动内容）</w:t>
            </w:r>
          </w:p>
        </w:tc>
      </w:tr>
      <w:tr w14:paraId="429A1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2580" w:type="dxa"/>
            <w:vAlign w:val="center"/>
          </w:tcPr>
          <w:p w14:paraId="10ED4AA5">
            <w:pPr>
              <w:pStyle w:val="12"/>
              <w:spacing w:line="360" w:lineRule="auto"/>
              <w:ind w:left="107" w:right="96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7076DEE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cs="宋体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  <w:lang w:val="en-US" w:eastAsia="zh-CN"/>
              </w:rPr>
              <w:t>线上参与公司2026年半年度业绩说明会的全体投资者</w:t>
            </w:r>
          </w:p>
        </w:tc>
      </w:tr>
      <w:tr w14:paraId="0D86A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18B7C2F6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6ECCB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2026年09月15日 15:00-16:00</w:t>
            </w:r>
          </w:p>
        </w:tc>
      </w:tr>
      <w:tr w14:paraId="6F90F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 w14:paraId="4EC9F581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1ACE153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cs="宋体" w:asciiTheme="minorEastAsia" w:hAnsiTheme="minorEastAsia" w:eastAsiaTheme="minorEastAsia"/>
                <w:sz w:val="20"/>
                <w:szCs w:val="20"/>
              </w:rPr>
            </w:pPr>
            <w:r>
              <w:rPr>
                <w:rFonts w:cs="宋体" w:asciiTheme="minorEastAsia" w:hAnsiTheme="minorEastAsia" w:eastAsiaTheme="minorEastAsia"/>
                <w:sz w:val="20"/>
                <w:szCs w:val="20"/>
              </w:rPr>
              <w:t>价值在线（https://www.ir-online.cn/）网络互动</w:t>
            </w:r>
          </w:p>
        </w:tc>
      </w:tr>
      <w:tr w14:paraId="01AB6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717E87E8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237DF51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董事长 张鹏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董事、副总经理、总会计师、董事会秘书 由宇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独立董事 姜作玖</w:t>
            </w:r>
          </w:p>
        </w:tc>
      </w:tr>
      <w:tr w14:paraId="7A5AB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2580" w:type="dxa"/>
          </w:tcPr>
          <w:p w14:paraId="15D3C9AB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218F6F9B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482FF857">
            <w:pPr>
              <w:pStyle w:val="12"/>
              <w:spacing w:before="5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2C96E758">
            <w:pPr>
              <w:pStyle w:val="12"/>
              <w:spacing w:before="1" w:line="499" w:lineRule="auto"/>
              <w:ind w:left="107" w:right="96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4F36CDEC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left="0" w:leftChars="0" w:firstLine="402" w:firstLineChars="200"/>
              <w:textAlignment w:val="auto"/>
              <w:rPr>
                <w:rFonts w:ascii="宋体" w:hAnsi="宋体" w:eastAsia="宋体" w:cs="宋体"/>
                <w:b w:val="0"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b/>
                <w:sz w:val="20"/>
              </w:rPr>
              <w:t>.请问公司今年经营计划的推进情况如何？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ascii="宋体" w:hAnsi="宋体" w:eastAsia="宋体" w:cs="宋体"/>
                <w:b w:val="0"/>
                <w:sz w:val="20"/>
              </w:rPr>
              <w:t>答:2026年，公司生铁年度计划产量455万吨，上半年完成221.65万吨，年度计划完成率48.71%；钢年度计划产量499万吨，上半年完成239.45万吨，年度计划完成率47.99%；钢材年度计划产量460.5万吨，上半年完成206.52万吨，年度计划完成率44.85%；营业收入年度计划197亿元，上半年实现78.18亿元，年度计划完成率39.69%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2.上半年公司营收实现逆势正增长，主要驱动因素是什么？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ascii="宋体" w:hAnsi="宋体" w:eastAsia="宋体" w:cs="宋体"/>
                <w:b w:val="0"/>
                <w:sz w:val="20"/>
              </w:rPr>
              <w:t>答:2026年上半年营业收入78.18亿元，上年同期营业收入73.78亿元，同比提高5.98%，主要驱动因素为坯材销量与售价双双提升。坯材销量234.82万吨，上年同期坯材销量218.53万吨，同比提高7.46%；坯材均价3,198.45元/吨，上年同期坯材均价3,089.98元/吨，同比提高3.51%。</w:t>
            </w:r>
          </w:p>
          <w:p w14:paraId="471DD5C2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left="0" w:leftChars="0" w:firstLine="400" w:firstLineChars="200"/>
              <w:textAlignment w:val="auto"/>
              <w:rPr>
                <w:rFonts w:ascii="宋体" w:hAnsi="宋体" w:eastAsia="宋体" w:cs="宋体"/>
                <w:b w:val="0"/>
                <w:sz w:val="20"/>
              </w:rPr>
            </w:pPr>
            <w:r>
              <w:rPr>
                <w:rFonts w:ascii="宋体" w:hAnsi="宋体" w:eastAsia="宋体" w:cs="宋体"/>
                <w:b w:val="0"/>
                <w:sz w:val="20"/>
              </w:rPr>
              <w:t>产品销量方面，2026年上半年生铁产量221.65万吨，上年同期受3#、4#高炉停产影响，本期生铁同比增产10.65万吨，带动钢产量同比增加14.55万吨；坯材销量完成234.82万吨，同比增长16.29万吨。依托钢产量提升、坯材销量增加，在钢材市场低迷、盈利空间收窄的形势下，增加营业收入。</w:t>
            </w:r>
          </w:p>
          <w:p w14:paraId="150481BF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left="0" w:leftChars="0" w:firstLine="400" w:firstLineChars="200"/>
              <w:textAlignment w:val="auto"/>
              <w:rPr>
                <w:rFonts w:ascii="宋体" w:hAnsi="宋体" w:eastAsia="宋体" w:cs="宋体"/>
                <w:b w:val="0"/>
                <w:sz w:val="20"/>
              </w:rPr>
            </w:pPr>
            <w:r>
              <w:rPr>
                <w:rFonts w:ascii="宋体" w:hAnsi="宋体" w:eastAsia="宋体" w:cs="宋体"/>
                <w:b w:val="0"/>
                <w:sz w:val="20"/>
              </w:rPr>
              <w:t>产品价格方面，公司以调品为抓手，统筹大小调品协同发力，推进产品结构转型，深挖吨材盈利潜力。通过精细管控资源计划、优化产线配置，保障高价值产品稳定交付；落实“普转优、优转特”策略，压减低附加值产品，扩大优质特色产品投放，以品质升级、高附加值产品增量提升收入。优化客户渠道，深耕重点客户、拓展直供业务，提高高附加值产品营收占比；推行锁价销售，稳固高端产品份额及盈利。</w:t>
            </w:r>
          </w:p>
          <w:p w14:paraId="4D97A043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left="0" w:leftChars="0" w:firstLine="400" w:firstLineChars="200"/>
              <w:textAlignment w:val="auto"/>
              <w:rPr>
                <w:rFonts w:ascii="宋体" w:hAnsi="宋体" w:eastAsia="宋体" w:cs="宋体"/>
                <w:b w:val="0"/>
                <w:sz w:val="20"/>
              </w:rPr>
            </w:pPr>
            <w:r>
              <w:rPr>
                <w:rFonts w:ascii="宋体" w:hAnsi="宋体" w:eastAsia="宋体" w:cs="宋体"/>
                <w:b w:val="0"/>
                <w:sz w:val="20"/>
              </w:rPr>
              <w:t>综上，在行业下行周期，公司依靠产线优化改造、内部提产、外部协同、销售品种结构调整，实现营业收入逆势正增长。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3.公司经营现金流由正转负，主要原因是什么？未来有什么改善措施吗？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ascii="宋体" w:hAnsi="宋体" w:eastAsia="宋体" w:cs="宋体"/>
                <w:b w:val="0"/>
                <w:sz w:val="20"/>
              </w:rPr>
              <w:t>答:受钢铁行业市场持续下行影响，今年行业形势较去年进一步恶化，公司经营亏损增加，带动经营净现金流由正转负。后续将强化预算管控，抓实两金压控，着力改善经营状况、提升盈利水平，多措并举保障公司现金流稳定运行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4.原燃料价格波动对公司成本有什么影响？公司有什么应对措施吗？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ascii="宋体" w:hAnsi="宋体" w:eastAsia="宋体" w:cs="宋体"/>
                <w:b w:val="0"/>
                <w:sz w:val="20"/>
              </w:rPr>
              <w:t>答:2026年上半年，钢铁行业仍处于减量调结构和存量优化阶段，供大于需，钢价窄幅震荡，煤焦、废钢、合金涨价推动铁水、钢水成本刚性抬升，成本挤压利润。公司以充分释放产能、深化增收降本提效与结构调整，聚焦营销创效、采购攻坚、极致降本、制造能力提升四大核心任务，强化全流程成本管控、筑牢铁前低成本优势、深挖工序降本潜力、提升全流程协同效率和严格控制非必要支出，仍未能扭转亏损状态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5.请问公司在进口替代和海外市场拓展上有什么进展？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ascii="宋体" w:hAnsi="宋体" w:eastAsia="宋体" w:cs="宋体"/>
                <w:b w:val="0"/>
                <w:sz w:val="20"/>
              </w:rPr>
              <w:t>答:2026年受国际市场因素影响，普氏指数价格持续下行，导致进口矿性价比优势逐渐扩大。凌钢在保障生产稳定的前提下，积极调整进口矿配比，提高进口矿消耗。从结构看，"2+3"核心市场基本盘持续稳固，出口海外布局向全球多区域延伸，市场多元化和抗风险能力进一步增强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6.并入鞍钢集团后给公司带来了哪些协同和支持？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ascii="宋体" w:hAnsi="宋体" w:eastAsia="宋体" w:cs="宋体"/>
                <w:b w:val="0"/>
                <w:sz w:val="20"/>
              </w:rPr>
              <w:t>答:并入鞍钢集团后，依托集团金融协同支持，公司授信规模增加，合作主体以国有大行、股份制银行为主，资金保障能力持续增强；综合融资成本下降，银行保证金比例持续下降，有效释放可用资金，债务结构得到优化，切实缓解企业资金压力。深度融入鞍钢集团“1+3+N”研发体系，依托鞍钢集团研发平台，实现科研项目统筹立项、技术成果与创新平台资源共建共享。借力集团研究院技术优势开展联合技术攻关，补齐自身技术能力短板，有效规避重复研发，加快新产品、新工艺迭代落地，持续提升品种钢研发创制水平，为生产经营提质增效提供强劲技术支撑。采销协同，开辟渠道，保障资源稳定供应，有效降低采购成本，生产高端优特圆钢，充分发挥鞍钢集团资源统筹优势，靶向破解制约凌钢高质量发展的瓶颈短板，以装备迭代升级推进产业链延链、补链、强链，加快培育发展新质生产力。推进2290m³高炉顺利投产，完成超低排放项目建设并通过超低排放验收公示，实现限制类装备全部清零，推动企业跑出高端化、智能化、绿色化发展新速度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7.公司在降本增效方面采取了哪些措施、成效如何？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ascii="宋体" w:hAnsi="宋体" w:eastAsia="宋体" w:cs="宋体"/>
                <w:b w:val="0"/>
                <w:sz w:val="20"/>
              </w:rPr>
              <w:t>答:降本增效主要措施：一是构建五大经营中心管控机制，以铁区、带钢、优特钢棒材、能源、物流五大经营中心为抓手，围绕体系搭建、数据管控、业财融合、机制保障，实现经营指标与全面预算管理深度衔接；二是深化销售端运营，持续优化销售政策，针对重点区域拓展渠道，增加优特钢、中宽带比例，增加高价合同量，重点开发不走精整的协议产品，提高高价值大规格钢坯销量；三是推进全工序协同降本，高效联动优化配煤配矿结构、高炉炉况精细化控制，精准控制炉温、转炉持续开展技术攻关，优化生产计划，合理排产；四是抓实采购端全维度降本管控，优化原料采购结构，动态研判矿粉市场价格走势，平衡进口矿采购占比，优化招标结构、增加国内矿矿粉采购量、优化进口矿到港方式；五是全面推行算账经营模式，从战略层面全面推行全员算账经营理念，多渠道强化理念宣导，印发专项宣传提纲，通过经营活动分析会等重要会议传导全员算账工作要求，将成本管控责任压实到各岗位、各工序，夯实全员价值管控思想基础。</w:t>
            </w:r>
          </w:p>
          <w:p w14:paraId="3C8887C4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left="0" w:leftChars="0" w:firstLine="400" w:firstLineChars="200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sz w:val="20"/>
              </w:rPr>
              <w:t>降本增效实施成效：经营管控精细化水平全面提升，充分释放五大经营中心效能，销售端创效能力持续增强，工序成本管控取得阶段性成效，全工序工艺优化与技术攻关落地见效，工序物耗、能耗指标持续改善，生产运行效率稳步提升，采购降本实效稳步显现，集中采购规模效应与战略采购优势充分释放，算账经营核心支撑作用凸显，整合优化原有模型体系，充分发挥算账经营在降本增利工作中的核心支撑作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8.炼钢产能置换项目已100%建成，建成后对公司装备和竞争力有什么提升？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</w:t>
            </w:r>
            <w:r>
              <w:rPr>
                <w:rFonts w:ascii="宋体" w:hAnsi="宋体" w:eastAsia="宋体" w:cs="宋体"/>
                <w:b w:val="0"/>
                <w:sz w:val="20"/>
              </w:rPr>
              <w:t>答:项目淘汰3座35t转炉、建设一座120t转炉，配套建设一座LF炉，一套KR脱硫系统等。项目建成后，工业废水全循环利用，工业固废实现减量化、资源化利用，满足国家超低排放标准要求；炼钢工序能耗能够达到行业标杆水平，满足国家能耗“双控”和“双碳”等政策要求；装备实现大型化、节能化、智能化，炼钢系统不存在限制类装备，产品质量和附加值均有一定提升。</w:t>
            </w:r>
            <w:bookmarkStart w:id="0" w:name="_GoBack"/>
            <w:bookmarkEnd w:id="0"/>
          </w:p>
        </w:tc>
      </w:tr>
      <w:tr w14:paraId="64EF0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2580" w:type="dxa"/>
            <w:vAlign w:val="center"/>
          </w:tcPr>
          <w:p w14:paraId="14219359">
            <w:pPr>
              <w:pStyle w:val="12"/>
              <w:spacing w:before="1"/>
              <w:ind w:left="107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关于本次活动是否涉及应</w:t>
            </w:r>
          </w:p>
          <w:p w14:paraId="166640AB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7C8E099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本次活动不涉及未公开披露的重大信息。</w:t>
            </w:r>
          </w:p>
        </w:tc>
      </w:tr>
      <w:tr w14:paraId="5878D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29326732">
            <w:pPr>
              <w:pStyle w:val="12"/>
              <w:spacing w:before="1"/>
              <w:ind w:left="107" w:leftChars="0"/>
              <w:rPr>
                <w:rFonts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40ED650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</w:p>
        </w:tc>
      </w:tr>
      <w:tr w14:paraId="07A30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6DEA904A">
            <w:pPr>
              <w:pStyle w:val="12"/>
              <w:spacing w:before="1"/>
              <w:ind w:left="107" w:leftChars="0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39C1F3F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2026年09月15日</w:t>
            </w:r>
          </w:p>
        </w:tc>
      </w:tr>
    </w:tbl>
    <w:p w14:paraId="589C30A8">
      <w:pPr>
        <w:rPr>
          <w:rFonts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3D80B70"/>
    <w:rsid w:val="04B072D4"/>
    <w:rsid w:val="05F575D4"/>
    <w:rsid w:val="064249C6"/>
    <w:rsid w:val="06D76BB7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AF418A0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  <w:rsid w:val="7FFB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2655</Words>
  <Characters>2880</Characters>
  <Lines>2</Lines>
  <Paragraphs>1</Paragraphs>
  <TotalTime>0</TotalTime>
  <ScaleCrop>false</ScaleCrop>
  <LinksUpToDate>false</LinksUpToDate>
  <CharactersWithSpaces>2999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高一</cp:lastModifiedBy>
  <dcterms:modified xsi:type="dcterms:W3CDTF">2026-09-15T08:42:30Z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EDFE619699D14D688D83C2A4712BDD51_13</vt:lpwstr>
  </property>
  <property fmtid="{D5CDD505-2E9C-101B-9397-08002B2CF9AE}" pid="4" name="KSOTemplateDocerSaveRecord">
    <vt:lpwstr>eyJoZGlkIjoiNzY5OWYxNDNhZGY3NGU0M2JiNDY0MzIxYjJhOGUyNTkiLCJ1c2VySWQiOiI1NzA1ODc4NzIifQ==</vt:lpwstr>
  </property>
</Properties>
</file>