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after="156" w:afterLines="50" w:line="400" w:lineRule="exact"/>
        <w:rPr>
          <w:rFonts w:hint="default" w:eastAsia="宋体"/>
          <w:bCs/>
          <w:iCs/>
          <w:color w:val="000000"/>
          <w:sz w:val="24"/>
          <w:lang w:val="en-US" w:eastAsia="zh-CN"/>
        </w:rPr>
      </w:pPr>
      <w:r>
        <w:rPr>
          <w:rFonts w:hAnsi="宋体"/>
          <w:bCs/>
          <w:iCs/>
          <w:color w:val="000000"/>
          <w:sz w:val="24"/>
        </w:rPr>
        <w:t>证券代码：</w:t>
      </w:r>
      <w:r>
        <w:rPr>
          <w:bCs/>
          <w:iCs/>
          <w:color w:val="000000"/>
          <w:sz w:val="24"/>
        </w:rPr>
        <w:t xml:space="preserve"> </w:t>
      </w:r>
      <w:r>
        <w:rPr>
          <w:color w:val="000000"/>
          <w:sz w:val="24"/>
        </w:rPr>
        <w:t xml:space="preserve">600438             </w:t>
      </w:r>
      <w:r>
        <w:rPr>
          <w:rFonts w:hAnsi="宋体"/>
          <w:bCs/>
          <w:iCs/>
          <w:color w:val="000000"/>
          <w:sz w:val="24"/>
        </w:rPr>
        <w:t>证券简称：</w:t>
      </w:r>
      <w:r>
        <w:rPr>
          <w:color w:val="000000"/>
          <w:sz w:val="24"/>
        </w:rPr>
        <w:t>通威股份</w:t>
      </w:r>
      <w:r>
        <w:rPr>
          <w:rFonts w:hint="eastAsia"/>
          <w:color w:val="000000"/>
          <w:sz w:val="24"/>
          <w:lang w:val="en-US" w:eastAsia="zh-CN"/>
        </w:rPr>
        <w:t xml:space="preserve">           编号：2026-02</w:t>
      </w:r>
    </w:p>
    <w:p>
      <w:pPr>
        <w:spacing w:before="156" w:beforeLines="50" w:after="156" w:afterLines="50" w:line="400" w:lineRule="exact"/>
        <w:jc w:val="center"/>
        <w:rPr>
          <w:rFonts w:hint="default" w:ascii="宋体" w:hAnsi="宋体"/>
          <w:b/>
          <w:bCs/>
          <w:iCs/>
          <w:color w:val="000000"/>
          <w:sz w:val="32"/>
          <w:szCs w:val="32"/>
        </w:rPr>
      </w:pPr>
      <w:r>
        <w:rPr>
          <w:rFonts w:hint="default" w:ascii="宋体" w:hAnsi="宋体"/>
          <w:b/>
          <w:bCs/>
          <w:iCs/>
          <w:color w:val="000000"/>
          <w:sz w:val="32"/>
          <w:szCs w:val="32"/>
        </w:rPr>
        <w:t>通威股份有限公司</w:t>
      </w:r>
    </w:p>
    <w:p>
      <w:pPr>
        <w:spacing w:before="156" w:beforeLines="50" w:after="156" w:afterLines="50" w:line="400" w:lineRule="exact"/>
        <w:jc w:val="center"/>
        <w:rPr>
          <w:rFonts w:hint="eastAsia" w:ascii="宋体" w:hAnsi="宋体"/>
          <w:b/>
          <w:bCs/>
          <w:iCs/>
          <w:color w:val="000000"/>
          <w:sz w:val="32"/>
          <w:szCs w:val="32"/>
        </w:rPr>
      </w:pPr>
      <w:r>
        <w:rPr>
          <w:rFonts w:hint="eastAsia" w:ascii="宋体" w:hAnsi="宋体"/>
          <w:b/>
          <w:bCs/>
          <w:iCs/>
          <w:color w:val="000000"/>
          <w:sz w:val="32"/>
          <w:szCs w:val="32"/>
        </w:rPr>
        <w:t>投资者关系活动记录表</w:t>
      </w:r>
    </w:p>
    <w:p>
      <w:pPr>
        <w:spacing w:line="400" w:lineRule="exact"/>
        <w:rPr>
          <w:bCs/>
          <w:iCs/>
          <w:color w:val="000000"/>
          <w:sz w:val="24"/>
        </w:rPr>
      </w:pPr>
      <w:r>
        <w:rPr>
          <w:rFonts w:hint="eastAsia" w:ascii="宋体" w:hAnsi="宋体"/>
          <w:bCs/>
          <w:iCs/>
          <w:color w:val="000000"/>
          <w:sz w:val="24"/>
        </w:rPr>
        <w:t xml:space="preserve">                                                     </w:t>
      </w:r>
    </w:p>
    <w:tbl>
      <w:tblPr>
        <w:tblStyle w:val="5"/>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8"/>
        <w:gridCol w:w="68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kern w:val="0"/>
                <w:sz w:val="24"/>
              </w:rPr>
            </w:pPr>
            <w:r>
              <w:rPr>
                <w:rFonts w:hAnsi="宋体"/>
                <w:bCs/>
                <w:iCs/>
                <w:color w:val="000000"/>
                <w:kern w:val="0"/>
                <w:sz w:val="24"/>
              </w:rPr>
              <w:t>投资者关系活动类别</w:t>
            </w:r>
          </w:p>
          <w:p>
            <w:pPr>
              <w:spacing w:line="420" w:lineRule="exact"/>
              <w:rPr>
                <w:bCs/>
                <w:iCs/>
                <w:color w:val="000000"/>
                <w:sz w:val="24"/>
              </w:rPr>
            </w:pP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sz w:val="24"/>
              </w:rPr>
            </w:pPr>
            <w:r>
              <w:rPr>
                <w:bCs/>
                <w:iCs/>
                <w:color w:val="000000"/>
                <w:kern w:val="0"/>
                <w:sz w:val="24"/>
              </w:rPr>
              <w:t>□</w:t>
            </w:r>
            <w:r>
              <w:rPr>
                <w:rFonts w:hAnsi="宋体"/>
                <w:kern w:val="0"/>
                <w:sz w:val="24"/>
              </w:rPr>
              <w:t>特定对象调研</w:t>
            </w:r>
            <w:r>
              <w:rPr>
                <w:kern w:val="0"/>
                <w:sz w:val="24"/>
              </w:rPr>
              <w:t xml:space="preserve">       </w:t>
            </w:r>
            <w:r>
              <w:rPr>
                <w:rFonts w:hint="eastAsia"/>
                <w:kern w:val="0"/>
                <w:sz w:val="24"/>
              </w:rPr>
              <w:t xml:space="preserve"> </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分析师会议</w:t>
            </w:r>
          </w:p>
          <w:p>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媒体采访</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业绩说明会</w:t>
            </w:r>
          </w:p>
          <w:p>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新闻发布会</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路演活动</w:t>
            </w:r>
          </w:p>
          <w:p>
            <w:pPr>
              <w:tabs>
                <w:tab w:val="left" w:pos="3045"/>
                <w:tab w:val="center" w:pos="3199"/>
              </w:tabs>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现场参观</w:t>
            </w:r>
            <w:r>
              <w:rPr>
                <w:bCs/>
                <w:iCs/>
                <w:color w:val="000000"/>
                <w:kern w:val="0"/>
                <w:sz w:val="24"/>
              </w:rPr>
              <w:tab/>
            </w:r>
          </w:p>
          <w:p>
            <w:pPr>
              <w:tabs>
                <w:tab w:val="center" w:pos="3199"/>
              </w:tabs>
              <w:spacing w:line="420" w:lineRule="exact"/>
              <w:rPr>
                <w:bCs/>
                <w:iCs/>
                <w:color w:val="000000"/>
                <w:sz w:val="24"/>
              </w:rPr>
            </w:pPr>
            <w:r>
              <w:rPr>
                <w:bCs/>
                <w:iCs/>
                <w:color w:val="000000"/>
                <w:kern w:val="0"/>
                <w:sz w:val="24"/>
              </w:rPr>
              <w:t>□</w:t>
            </w:r>
            <w:r>
              <w:rPr>
                <w:rFonts w:hint="eastAsia"/>
                <w:bCs/>
                <w:iCs/>
                <w:color w:val="000000"/>
                <w:kern w:val="0"/>
                <w:sz w:val="24"/>
              </w:rPr>
              <w:t xml:space="preserve"> </w:t>
            </w:r>
            <w:r>
              <w:rPr>
                <w:rFonts w:hAnsi="宋体"/>
                <w:kern w:val="0"/>
                <w:sz w:val="24"/>
              </w:rPr>
              <w:t>其他</w:t>
            </w:r>
            <w:r>
              <w:rPr>
                <w:kern w:val="0"/>
                <w:sz w:val="24"/>
              </w:rPr>
              <w:t xml:space="preserve"> </w:t>
            </w:r>
            <w:r>
              <w:rPr>
                <w:rFonts w:hAnsi="宋体"/>
                <w:kern w:val="0"/>
                <w:sz w:val="24"/>
              </w:rPr>
              <w:t>（</w:t>
            </w:r>
            <w:r>
              <w:rPr>
                <w:rFonts w:hAnsi="宋体"/>
                <w:kern w:val="0"/>
                <w:sz w:val="24"/>
                <w:u w:val="single"/>
              </w:rPr>
              <w:t>请文字说明其他活动内容）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kern w:val="0"/>
                <w:sz w:val="24"/>
              </w:rPr>
            </w:pPr>
            <w:r>
              <w:rPr>
                <w:rFonts w:hAnsi="宋体"/>
                <w:bCs/>
                <w:iCs/>
                <w:color w:val="000000"/>
                <w:kern w:val="0"/>
                <w:sz w:val="24"/>
              </w:rPr>
              <w:t>参与单位名称及人员姓名</w:t>
            </w: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bCs/>
                <w:iCs/>
                <w:color w:val="000000"/>
                <w:sz w:val="24"/>
                <w:lang w:val="en-GB"/>
              </w:rPr>
            </w:pPr>
            <w:r>
              <w:rPr>
                <w:rFonts w:hint="eastAsia"/>
                <w:bCs/>
                <w:iCs/>
                <w:color w:val="000000"/>
                <w:sz w:val="24"/>
                <w:lang w:val="en-GB"/>
              </w:rPr>
              <w:t>投资者网上提问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kern w:val="0"/>
                <w:sz w:val="24"/>
              </w:rPr>
            </w:pPr>
            <w:r>
              <w:rPr>
                <w:rFonts w:hAnsi="宋体"/>
                <w:bCs/>
                <w:iCs/>
                <w:color w:val="000000"/>
                <w:kern w:val="0"/>
                <w:sz w:val="24"/>
              </w:rPr>
              <w:t>时间</w:t>
            </w: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sz w:val="24"/>
              </w:rPr>
            </w:pPr>
            <w:r>
              <w:rPr>
                <w:bCs/>
                <w:iCs/>
                <w:color w:val="000000"/>
                <w:sz w:val="24"/>
              </w:rPr>
              <w:t>2026年9月11日 (周五) 下午 14:00~17:00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kern w:val="0"/>
                <w:sz w:val="24"/>
              </w:rPr>
            </w:pPr>
            <w:r>
              <w:rPr>
                <w:rFonts w:hAnsi="宋体"/>
                <w:bCs/>
                <w:iCs/>
                <w:color w:val="000000"/>
                <w:kern w:val="0"/>
                <w:sz w:val="24"/>
              </w:rPr>
              <w:t>地点</w:t>
            </w: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sz w:val="24"/>
              </w:rPr>
            </w:pPr>
            <w:r>
              <w:rPr>
                <w:rFonts w:ascii="宋体" w:hAnsi="宋体"/>
                <w:sz w:val="24"/>
              </w:rPr>
              <w:t>公司通过</w:t>
            </w:r>
            <w:r>
              <w:rPr>
                <w:rFonts w:hint="eastAsia" w:ascii="宋体" w:hAnsi="宋体"/>
                <w:bCs/>
                <w:sz w:val="24"/>
              </w:rPr>
              <w:t>全景网“</w:t>
            </w:r>
            <w:r>
              <w:rPr>
                <w:rFonts w:ascii="宋体" w:hAnsi="宋体" w:eastAsia="宋体" w:cs="宋体"/>
                <w:sz w:val="24"/>
                <w:szCs w:val="24"/>
              </w:rPr>
              <w:t>投资者关系互动平台</w:t>
            </w:r>
            <w:r>
              <w:rPr>
                <w:rFonts w:hint="eastAsia" w:ascii="宋体" w:hAnsi="宋体"/>
                <w:bCs/>
                <w:sz w:val="24"/>
              </w:rPr>
              <w:t>”（http</w:t>
            </w:r>
            <w:r>
              <w:rPr>
                <w:rFonts w:hint="default" w:ascii="宋体" w:hAnsi="宋体"/>
                <w:bCs/>
                <w:sz w:val="24"/>
              </w:rPr>
              <w:t>s</w:t>
            </w:r>
            <w:r>
              <w:rPr>
                <w:rFonts w:hint="eastAsia" w:ascii="宋体" w:hAnsi="宋体"/>
                <w:bCs/>
                <w:sz w:val="24"/>
              </w:rPr>
              <w:t>://</w:t>
            </w:r>
            <w:r>
              <w:rPr>
                <w:rFonts w:hint="eastAsia" w:ascii="宋体" w:hAnsi="宋体"/>
                <w:bCs/>
                <w:sz w:val="24"/>
                <w:lang w:val="en-US" w:eastAsia="zh-CN"/>
              </w:rPr>
              <w:t>ir</w:t>
            </w:r>
            <w:r>
              <w:rPr>
                <w:rFonts w:hint="eastAsia" w:ascii="宋体" w:hAnsi="宋体"/>
                <w:bCs/>
                <w:sz w:val="24"/>
              </w:rPr>
              <w:t>.p5w.net）采用网络远程的方式</w:t>
            </w:r>
            <w:r>
              <w:rPr>
                <w:rFonts w:ascii="宋体" w:hAnsi="宋体"/>
                <w:sz w:val="24"/>
              </w:rPr>
              <w:t>召开</w:t>
            </w:r>
            <w:r>
              <w:rPr>
                <w:rFonts w:hint="eastAsia" w:ascii="宋体" w:hAnsi="宋体"/>
                <w:sz w:val="24"/>
              </w:rPr>
              <w:t>业绩</w:t>
            </w:r>
            <w:r>
              <w:rPr>
                <w:rFonts w:ascii="宋体" w:hAnsi="宋体"/>
                <w:sz w:val="24"/>
              </w:rPr>
              <w:t>说明会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kern w:val="0"/>
                <w:sz w:val="24"/>
              </w:rPr>
            </w:pPr>
            <w:r>
              <w:rPr>
                <w:rFonts w:hAnsi="宋体"/>
                <w:bCs/>
                <w:iCs/>
                <w:color w:val="000000"/>
                <w:kern w:val="0"/>
                <w:sz w:val="24"/>
              </w:rPr>
              <w:t>上市公司接待人员姓名</w:t>
            </w:r>
          </w:p>
        </w:tc>
        <w:tc>
          <w:tcPr>
            <w:tcW w:w="6847"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rFonts w:hint="default" w:ascii="宋体" w:hAnsi="宋体"/>
                <w:bCs/>
                <w:sz w:val="24"/>
              </w:rPr>
            </w:pPr>
            <w:r>
              <w:rPr>
                <w:rFonts w:hint="default" w:ascii="宋体" w:hAnsi="宋体"/>
                <w:bCs/>
                <w:sz w:val="24"/>
              </w:rPr>
              <w:t>1、董事长兼CEO刘舒琪</w:t>
            </w:r>
          </w:p>
          <w:p>
            <w:pPr>
              <w:spacing w:line="420" w:lineRule="exact"/>
              <w:rPr>
                <w:rFonts w:hint="default" w:ascii="宋体" w:hAnsi="宋体"/>
                <w:bCs/>
                <w:sz w:val="24"/>
              </w:rPr>
            </w:pPr>
            <w:r>
              <w:rPr>
                <w:rFonts w:hint="default" w:ascii="宋体" w:hAnsi="宋体"/>
                <w:bCs/>
                <w:sz w:val="24"/>
              </w:rPr>
              <w:t>2、独立董事陈磊</w:t>
            </w:r>
          </w:p>
          <w:p>
            <w:pPr>
              <w:spacing w:line="420" w:lineRule="exact"/>
              <w:rPr>
                <w:rFonts w:hint="default" w:ascii="宋体" w:hAnsi="宋体"/>
                <w:bCs/>
                <w:sz w:val="24"/>
              </w:rPr>
            </w:pPr>
            <w:r>
              <w:rPr>
                <w:rFonts w:hint="default" w:ascii="宋体" w:hAnsi="宋体"/>
                <w:bCs/>
                <w:sz w:val="24"/>
              </w:rPr>
              <w:t>3、财务总监周斌</w:t>
            </w:r>
          </w:p>
          <w:p>
            <w:pPr>
              <w:spacing w:line="420" w:lineRule="exact"/>
              <w:rPr>
                <w:rFonts w:hint="default" w:ascii="宋体" w:hAnsi="宋体"/>
                <w:bCs/>
                <w:sz w:val="24"/>
              </w:rPr>
            </w:pPr>
            <w:r>
              <w:rPr>
                <w:rFonts w:hint="default" w:ascii="宋体" w:hAnsi="宋体"/>
                <w:bCs/>
                <w:sz w:val="24"/>
              </w:rPr>
              <w:t>4、董事会秘书严轲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bCs/>
                <w:iCs/>
                <w:color w:val="000000"/>
                <w:kern w:val="0"/>
                <w:sz w:val="24"/>
              </w:rPr>
            </w:pPr>
            <w:r>
              <w:rPr>
                <w:rFonts w:hAnsi="宋体"/>
                <w:bCs/>
                <w:iCs/>
                <w:color w:val="000000"/>
                <w:kern w:val="0"/>
                <w:sz w:val="24"/>
              </w:rPr>
              <w:t>投资者关系活动主要内容介绍</w:t>
            </w:r>
          </w:p>
          <w:p>
            <w:pPr>
              <w:spacing w:line="420" w:lineRule="exact"/>
              <w:rPr>
                <w:bCs/>
                <w:iCs/>
                <w:color w:val="000000"/>
                <w:sz w:val="24"/>
              </w:rPr>
            </w:pP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before="156" w:beforeLines="50" w:line="460" w:lineRule="exact"/>
              <w:rPr>
                <w:rFonts w:ascii="宋体" w:hAnsi="宋体"/>
                <w:b/>
                <w:sz w:val="24"/>
              </w:rPr>
            </w:pPr>
            <w:r>
              <w:rPr>
                <w:rFonts w:ascii="宋体" w:hAnsi="宋体"/>
                <w:b/>
                <w:sz w:val="24"/>
              </w:rPr>
              <w:t>投资者提出的问题及公司回复情况</w:t>
            </w:r>
          </w:p>
          <w:p>
            <w:pPr>
              <w:spacing w:line="460" w:lineRule="exact"/>
              <w:rPr>
                <w:rFonts w:ascii="宋体" w:hAnsi="宋体"/>
                <w:sz w:val="24"/>
              </w:rPr>
            </w:pPr>
            <w:r>
              <w:rPr>
                <w:rFonts w:ascii="宋体" w:hAnsi="宋体" w:eastAsia="宋体" w:cs="宋体"/>
                <w:sz w:val="24"/>
              </w:rPr>
              <w:t>公司就投资者在本次说明会中提出的问题进行了回复：</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1、您好  钙钛矿现在研究的怎么样了，什么进度</w:t>
            </w:r>
          </w:p>
          <w:p>
            <w:pPr>
              <w:pStyle w:val="7"/>
              <w:spacing w:line="460" w:lineRule="exact"/>
              <w:ind w:left="-2" w:leftChars="-1" w:firstLine="480"/>
              <w:rPr>
                <w:rFonts w:hint="default" w:ascii="宋体" w:hAnsi="宋体"/>
                <w:sz w:val="24"/>
                <w:szCs w:val="24"/>
              </w:rPr>
            </w:pPr>
            <w:r>
              <w:rPr>
                <w:rFonts w:hint="default" w:ascii="宋体" w:hAnsi="宋体"/>
                <w:sz w:val="24"/>
                <w:szCs w:val="24"/>
              </w:rPr>
              <w:t>感谢您的关注。公司钙钛矿叠层技术研发进展良好，目前依托已建成的行业首条5MW级全自动钙钛矿/异质结叠层试验线持续攻关，研发转换效率处于行业领先。同时，公司“钙钛矿-晶硅叠层电池规模化制备技术”入选中国国际科技促进会钙钛矿产业分会“2025年度钙钛矿领域重大科技进展”名单。</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2、关注到同行先后下修了可转债转股价格，公司是否也考虑下修？</w:t>
            </w:r>
          </w:p>
          <w:p>
            <w:pPr>
              <w:pStyle w:val="7"/>
              <w:spacing w:line="460" w:lineRule="exact"/>
              <w:ind w:left="-2" w:leftChars="-1" w:firstLine="480"/>
              <w:rPr>
                <w:rFonts w:hint="default" w:ascii="宋体" w:hAnsi="宋体"/>
                <w:sz w:val="24"/>
                <w:szCs w:val="24"/>
              </w:rPr>
            </w:pPr>
            <w:r>
              <w:rPr>
                <w:rFonts w:hint="default" w:ascii="宋体" w:hAnsi="宋体"/>
                <w:sz w:val="24"/>
                <w:szCs w:val="24"/>
              </w:rPr>
              <w:t>尊敬的投资者，您好！公司将秉持审慎负责的态度，严格遵循法律法规及《公司章程》等相关规定，充分考量市场情况、行业发展趋势及全体股东利益后做出决策。若后续触发下修条件，公司将及时履行董事会审议及信息披露义务，请以公司在上交所披露的正式公告为准。感谢关注。</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3、目前丽豪的收购进展及完成时间</w:t>
            </w:r>
          </w:p>
          <w:p>
            <w:pPr>
              <w:pStyle w:val="7"/>
              <w:spacing w:line="460" w:lineRule="exact"/>
              <w:ind w:left="-2" w:leftChars="-1" w:firstLine="480"/>
              <w:rPr>
                <w:rFonts w:hint="default" w:ascii="宋体" w:hAnsi="宋体"/>
                <w:sz w:val="24"/>
                <w:szCs w:val="24"/>
              </w:rPr>
            </w:pPr>
            <w:r>
              <w:rPr>
                <w:rFonts w:hint="default" w:ascii="宋体" w:hAnsi="宋体"/>
                <w:sz w:val="24"/>
                <w:szCs w:val="24"/>
              </w:rPr>
              <w:t>投资者您好，自公司披露关于发行股份及支付现金购买资产并募集配套资金事项预案以来，公司及相关各方积极推进本次交易的相关工作。截至目前，本次交易所涉及的审计、评估等基础工作已初步完成。但因交易预案披露后光伏行业市场环境等对交易具有重大影响的因素发生了明显变化，交易各方仍在就本次交易具体方案持续协商中。待本次交易的具体方案协商一致后，公司将再次召开董事会审议本次交易方案，并按照相关法律法规的规定履行本次交易有关的审批决策及信息披露程序。</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4、目前青海丽豪的收购进展到什么阶段了？</w:t>
            </w:r>
          </w:p>
          <w:p>
            <w:pPr>
              <w:pStyle w:val="7"/>
              <w:spacing w:line="460" w:lineRule="exact"/>
              <w:ind w:left="-2" w:leftChars="-1" w:firstLine="480"/>
              <w:rPr>
                <w:rFonts w:hint="default" w:ascii="宋体" w:hAnsi="宋体"/>
                <w:sz w:val="24"/>
                <w:szCs w:val="24"/>
              </w:rPr>
            </w:pPr>
            <w:r>
              <w:rPr>
                <w:rFonts w:hint="default" w:ascii="宋体" w:hAnsi="宋体"/>
                <w:sz w:val="24"/>
                <w:szCs w:val="24"/>
              </w:rPr>
              <w:t>投资者您好，自公司披露关于发行股份及支付现金购买资产并募集配套资金事项预案以来，公司及相关各方积极推进本次交易的相关工作。截至目前，本次交易所涉及的审计、评估等基础工作已初步完成。但因交易</w:t>
            </w:r>
            <w:bookmarkStart w:id="0" w:name="_GoBack"/>
            <w:bookmarkEnd w:id="0"/>
            <w:r>
              <w:rPr>
                <w:rFonts w:hint="default" w:ascii="宋体" w:hAnsi="宋体"/>
                <w:sz w:val="24"/>
                <w:szCs w:val="24"/>
              </w:rPr>
              <w:t>预案披露后光伏行业市场环境等对交易具有重大影响的因素发生了明显变化，交易各方仍在就本次交易具体方案持续协商中。待本次交易的具体方案协商一致后，公司将再次召开董事会审议本次交易方案，并按照相关法律法规的规定履行本次交易有关的审批决策及信息披露程序。</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5、看到公司推出了TNC3.0的高功率产品，感觉还是挺有竞争力了，新闻报道头部企业都在往高功率做，说明是行业大趋势，所以比较关心未来这些高功率产品的产能规模是不是还要进一步扩大？</w:t>
            </w:r>
          </w:p>
          <w:p>
            <w:pPr>
              <w:pStyle w:val="7"/>
              <w:spacing w:line="460" w:lineRule="exact"/>
              <w:ind w:left="-2" w:leftChars="-1" w:firstLine="480"/>
              <w:rPr>
                <w:rFonts w:hint="default" w:ascii="宋体" w:hAnsi="宋体"/>
                <w:sz w:val="24"/>
                <w:szCs w:val="24"/>
              </w:rPr>
            </w:pPr>
            <w:r>
              <w:rPr>
                <w:rFonts w:hint="default" w:ascii="宋体" w:hAnsi="宋体"/>
                <w:sz w:val="24"/>
                <w:szCs w:val="24"/>
              </w:rPr>
              <w:t>尊敬的投资者，您好！今年上半年，公司率先完成新一代旗舰技术TNC3.0量产落地，量产端组件功率最高达670W（G12R-66版型），双面率可达85%~90%，全面达到行业一级能效标准，并拥有高发电面积、抗阴影、抗隐裂及抗热斑能力，复杂户外工况发电稳定性显著提升，弱光及高温发电性能突出。基于国内外客户对于高性能光伏产品的需求增长，公司自年初以来已陆续启动产线技改升级，后续高功率产线占比将持续提升。</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6、公司有分红计划嘛</w:t>
            </w:r>
          </w:p>
          <w:p>
            <w:pPr>
              <w:pStyle w:val="7"/>
              <w:spacing w:line="460" w:lineRule="exact"/>
              <w:ind w:left="-2" w:leftChars="-1" w:firstLine="480"/>
              <w:rPr>
                <w:rFonts w:hint="default" w:ascii="宋体" w:hAnsi="宋体"/>
                <w:sz w:val="24"/>
                <w:szCs w:val="24"/>
              </w:rPr>
            </w:pPr>
            <w:r>
              <w:rPr>
                <w:rFonts w:hint="default" w:ascii="宋体" w:hAnsi="宋体"/>
                <w:sz w:val="24"/>
                <w:szCs w:val="24"/>
              </w:rPr>
              <w:t>投资者您好！上半年光伏行业整体供需失衡格局尚未根本性改善，各环节产品价格维持低迷，企业经营压力显著，公司仍处于亏损状态，为优先保障公司业务经营稳健，公司2025年度暂未实施分红。但公司认为，中国光伏行业作为全球清洁能源转型的支柱产业，虽当前面临阶段性供需失衡矛盾，但仍具有长期广阔的发展空间，产业相关方也持续在探索行业破局措施。公司自身将紧密跟踪产业变化，动态调节经营策略，并立足自身长期竞争力优化，持续提升“绿色能源+绿色农业”两大主业内在竞争力，全力促进公司业绩改善，力争早日实现为股东创造长期稳健价值回报，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7、什么时间能保持稳定的分红</w:t>
            </w:r>
          </w:p>
          <w:p>
            <w:pPr>
              <w:pStyle w:val="7"/>
              <w:spacing w:line="460" w:lineRule="exact"/>
              <w:ind w:left="-2" w:leftChars="-1" w:firstLine="480"/>
              <w:rPr>
                <w:rFonts w:hint="default" w:ascii="宋体" w:hAnsi="宋体"/>
                <w:sz w:val="24"/>
                <w:szCs w:val="24"/>
              </w:rPr>
            </w:pPr>
            <w:r>
              <w:rPr>
                <w:rFonts w:hint="default" w:ascii="宋体" w:hAnsi="宋体"/>
                <w:sz w:val="24"/>
                <w:szCs w:val="24"/>
              </w:rPr>
              <w:t>投资者您好！上半年光伏行业整体供需失衡格局尚未根本性改善，各环节产品价格维持低迷，企业经营压力显著，公司仍处于亏损状态，为优先保障公司业务经营稳健，公司2025年度暂未实施分红。但公司认为，中国光伏行业作为全球清洁能源转型的支柱产业，虽当前面临阶段性供需失衡矛盾，但仍具有长期广阔的发展空间，产业相关方也持续在探索行业破局措施。公司自身将紧密跟踪产业变化，动态调节经营策略，并立足自身长期竞争力优化，持续提升“绿色能源+绿色农业”两大主业内在竞争力，全力促进公司业绩改善，力争早日实现为股东创造长期稳健价值回报，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8、收购丽豪是否会带来财务压力？</w:t>
            </w:r>
          </w:p>
          <w:p>
            <w:pPr>
              <w:pStyle w:val="7"/>
              <w:spacing w:line="460" w:lineRule="exact"/>
              <w:ind w:left="-2" w:leftChars="-1" w:firstLine="480"/>
              <w:rPr>
                <w:rFonts w:hint="default" w:ascii="宋体" w:hAnsi="宋体"/>
                <w:sz w:val="24"/>
                <w:szCs w:val="24"/>
              </w:rPr>
            </w:pPr>
            <w:r>
              <w:rPr>
                <w:rFonts w:hint="default" w:ascii="宋体" w:hAnsi="宋体"/>
                <w:sz w:val="24"/>
                <w:szCs w:val="24"/>
              </w:rPr>
              <w:t>投资者您好，根据相关交易预案，公司拟通过发行股份及支付现金的方式购买段雍、海南卓悦、海南豪悦等57名股东持有的丽豪清能100%股权，交易对方获得的具体股份对价及现金对价比例和金额将在标的资产最终交易价格确定后由交易各方协商确定，并在重组报告书中予以披露。针对本次交易的现金对价部分，公司拟募集配套资金，但募集配套资金事项能否通过上海证券交易所审核及中国证监会注册尚存在不确定性，可能存在本次募集配套资金金额不足乃至募集配套资金失败的风险。</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9、尊敬的刘董事长：你好，我是贵公司的一个个人投资者，请说明一下近期国家多晶硅反内卷执行具体情况，为何在国家相关部门指导监督下出台了相关反内卷规则并签署了相关协议，但市场多晶硅价格特别是股价仍然不休，是否国家层面近期还有相关反内卷政策出台？</w:t>
            </w:r>
          </w:p>
          <w:p>
            <w:pPr>
              <w:pStyle w:val="7"/>
              <w:spacing w:line="460" w:lineRule="exact"/>
              <w:ind w:left="-2" w:leftChars="-1" w:firstLine="480"/>
              <w:rPr>
                <w:rFonts w:hint="default" w:ascii="宋体" w:hAnsi="宋体"/>
                <w:sz w:val="24"/>
                <w:szCs w:val="24"/>
              </w:rPr>
            </w:pPr>
            <w:r>
              <w:rPr>
                <w:rFonts w:hint="default" w:ascii="宋体" w:hAnsi="宋体"/>
                <w:sz w:val="24"/>
                <w:szCs w:val="24"/>
              </w:rPr>
              <w:t>尊敬的投资者，您好！2026年光伏行业迎来“反内卷”政策密集落地期，效果正在从预期层面逐步向基本面传导。尤其下半年以来，6月《硅多晶和锗单位产品能源消耗限额》等三项强制性国家标准发布，行业企业面临严格的生产能耗红线与产品能效门槛，明年正式执行后落后产能有望逐步淘汰；7月份紧跟着发布了《光伏行业成本核算模型通则》团体标准，将终结行业成本核算口径不一的乱象，建立起一套可对标、可核查、可落地的度量标准；随后行业主管部门召开价格合规指导会议，要求企业按照团标自查自纠，维护市场价格秩序。受以上积极政策以及下半年国内外装机需求边际回暖影响，8月公司主要环节产品价格均有所回升，经营情况得到改善。但股票价格受包括市场资金风格、交易者情绪等多种因素影响，敬请各位投资者注意风险。</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10、想问问公司硅料产能有多少符合现在最新的能耗标准呢，有多少产能会面临淘汰呢。</w:t>
            </w:r>
          </w:p>
          <w:p>
            <w:pPr>
              <w:pStyle w:val="7"/>
              <w:spacing w:line="460" w:lineRule="exact"/>
              <w:ind w:left="-2" w:leftChars="-1" w:firstLine="480"/>
              <w:rPr>
                <w:rFonts w:hint="default" w:ascii="宋体" w:hAnsi="宋体"/>
                <w:sz w:val="24"/>
                <w:szCs w:val="24"/>
              </w:rPr>
            </w:pPr>
            <w:r>
              <w:rPr>
                <w:rFonts w:hint="default" w:ascii="宋体" w:hAnsi="宋体"/>
                <w:sz w:val="24"/>
                <w:szCs w:val="24"/>
              </w:rPr>
              <w:t>投资者，您好！公司高纯晶硅项目均属于行业先进产能，各项消耗指标持续领跑行业，目前全部产能均满足新颁布的《硅多晶和锗单位产品能源消耗限额》三级能耗标准，感谢您的关注！</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11、现在海外贸易壁垒层出不穷，公司怎么看待海外产能布局，是否计划推进相关进展？</w:t>
            </w:r>
          </w:p>
          <w:p>
            <w:pPr>
              <w:pStyle w:val="7"/>
              <w:spacing w:line="460" w:lineRule="exact"/>
              <w:ind w:left="-2" w:leftChars="-1" w:firstLine="480"/>
              <w:rPr>
                <w:rFonts w:hint="default" w:ascii="宋体" w:hAnsi="宋体"/>
                <w:sz w:val="24"/>
                <w:szCs w:val="24"/>
              </w:rPr>
            </w:pPr>
            <w:r>
              <w:rPr>
                <w:rFonts w:hint="default" w:ascii="宋体" w:hAnsi="宋体"/>
                <w:sz w:val="24"/>
                <w:szCs w:val="24"/>
              </w:rPr>
              <w:t>投资者，您好！基于光伏发电在全球大部分的国家与地区已成为最经济的能源形式，以及其绿色、安全、适应性强等属性，叠加现有光伏发电渗透率仍处于较低水平，光伏装机规模有望长期保持中高速增长态势。虽近年来，部分国家及地区对我国光伏产品施加贸易壁垒以扶持本土产能等情况，但绝大部分的国家与地区仍对中国光伏产品保持开放、积极态度，加之我国光伏产业链在技术、规模、成本、质量等方面长期保持全球领先优势，全球第一大光伏产品出口国市场地位持续稳固。公司长期坚持技术研发、精细管理、稳健经营，发展至今已为超过90余个国家和地区提供优质光伏产品，公司将持续保持对海外光伏市场的紧密跟踪，并动态、审慎评估产能投资的必要性与可行性。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12、原发行价15.20元/股，现股价仅11元。重新定价后丽豪整体估值是否同步下调？交易各方分歧具体在哪些条款？若无法达成一致，是否会终止交易？</w:t>
            </w:r>
          </w:p>
          <w:p>
            <w:pPr>
              <w:pStyle w:val="7"/>
              <w:spacing w:line="460" w:lineRule="exact"/>
              <w:ind w:left="-2" w:leftChars="-1" w:firstLine="480"/>
              <w:rPr>
                <w:rFonts w:hint="default" w:ascii="宋体" w:hAnsi="宋体"/>
                <w:sz w:val="24"/>
                <w:szCs w:val="24"/>
              </w:rPr>
            </w:pPr>
            <w:r>
              <w:rPr>
                <w:rFonts w:hint="default" w:ascii="宋体" w:hAnsi="宋体"/>
                <w:sz w:val="24"/>
                <w:szCs w:val="24"/>
              </w:rPr>
              <w:t>投资者您好，本次交易自预案披露以来，公司及相关各方积极推进本次交易的相关工作，但因交易预案披露后光伏行业市场环境等对交易具有重大影响的因素发生了明显变化，交易各方仍在就本次交易具体方案持续协商中。待本次交易的具体方案协商一致后，公司将再次召开董事会审议本次交易方案，并按照相关法律法规的规定履行本次交易有关的审批决策及信息披露程序。但目前公司亦无法排除后续存在交易各方对交易方案进行调整或者交易各方无法就交易方案达成一致的风险，敬请各位投资者注意投资风险，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13、请问一下贵公司产能出清什么时候能见底?</w:t>
            </w:r>
          </w:p>
          <w:p>
            <w:pPr>
              <w:pStyle w:val="7"/>
              <w:spacing w:line="460" w:lineRule="exact"/>
              <w:ind w:left="-2" w:leftChars="-1" w:firstLine="480"/>
              <w:rPr>
                <w:rFonts w:hint="default" w:ascii="宋体" w:hAnsi="宋体"/>
                <w:sz w:val="24"/>
                <w:szCs w:val="24"/>
              </w:rPr>
            </w:pPr>
            <w:r>
              <w:rPr>
                <w:rFonts w:hint="default" w:ascii="宋体" w:hAnsi="宋体"/>
                <w:sz w:val="24"/>
                <w:szCs w:val="24"/>
              </w:rPr>
              <w:t>投资者，您好！现阶段产业链供需矛盾虽未显著缓解，但受近期“反内卷”政策的推动及国内外需求边际改善，8月产业链主要环节价格已有所回升。随着明年1月起能耗、能效国标的正式执行，行业落后产能将逐步出清，市场环境有望进一步改善。关于后续产能出清速度需要进一步观测供需动态变化。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14、公司不考虑分红嘛</w:t>
            </w:r>
          </w:p>
          <w:p>
            <w:pPr>
              <w:pStyle w:val="7"/>
              <w:spacing w:line="460" w:lineRule="exact"/>
              <w:ind w:left="-2" w:leftChars="-1" w:firstLine="480"/>
              <w:rPr>
                <w:rFonts w:hint="default" w:ascii="宋体" w:hAnsi="宋体"/>
                <w:sz w:val="24"/>
                <w:szCs w:val="24"/>
              </w:rPr>
            </w:pPr>
            <w:r>
              <w:rPr>
                <w:rFonts w:hint="default" w:ascii="宋体" w:hAnsi="宋体"/>
                <w:sz w:val="24"/>
                <w:szCs w:val="24"/>
              </w:rPr>
              <w:t>投资者，您好！公司将结合行业发展情况、公司实际经营情况等各方面因素综合考虑，同时兼顾维护全体股东的长远利益、保障公司的可持续发展和资金需求进行审慎决策，请以公司公告为准，谢谢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15、通威Q3和Q4的现金流是否可以持续转正</w:t>
            </w:r>
          </w:p>
          <w:p>
            <w:pPr>
              <w:pStyle w:val="7"/>
              <w:spacing w:line="460" w:lineRule="exact"/>
              <w:ind w:left="-2" w:leftChars="-1" w:firstLine="480"/>
              <w:rPr>
                <w:rFonts w:hint="default" w:ascii="宋体" w:hAnsi="宋体"/>
                <w:sz w:val="24"/>
                <w:szCs w:val="24"/>
              </w:rPr>
            </w:pPr>
            <w:r>
              <w:rPr>
                <w:rFonts w:hint="default" w:ascii="宋体" w:hAnsi="宋体"/>
                <w:sz w:val="24"/>
                <w:szCs w:val="24"/>
              </w:rPr>
              <w:t>投资者您好！有关Q3\Q4具体数据请关注后续公司具体公告。谢谢！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16、有没有新技术发明，可以提高公司估值</w:t>
            </w:r>
          </w:p>
          <w:p>
            <w:pPr>
              <w:pStyle w:val="7"/>
              <w:spacing w:line="460" w:lineRule="exact"/>
              <w:ind w:left="-2" w:leftChars="-1" w:firstLine="480"/>
              <w:rPr>
                <w:rFonts w:hint="default" w:ascii="宋体" w:hAnsi="宋体"/>
                <w:sz w:val="24"/>
                <w:szCs w:val="24"/>
              </w:rPr>
            </w:pPr>
            <w:r>
              <w:rPr>
                <w:rFonts w:hint="default" w:ascii="宋体" w:hAnsi="宋体"/>
                <w:sz w:val="24"/>
                <w:szCs w:val="24"/>
              </w:rPr>
              <w:t>投资者您好，公司奉行“科学技术是第一生产力”，高度重视技术研发，取得了大量科研成果并应用于市场，持续为公司创造价值。截至2026年上半年末，公司已累计五次获得国家科学技术进步二等奖，公司光伏新能源板块累计获得授权专利数量4,070件，农牧板块累计获得授权专利数量588件。未来，公司将持续发挥自身在技术研发方面的竞争优势，继续努力提升企业内在价值，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17、我看二季度公司和行业的亏损幅度暂时没有大幅改善，公司流动性安全如何保障？</w:t>
            </w:r>
          </w:p>
          <w:p>
            <w:pPr>
              <w:pStyle w:val="7"/>
              <w:spacing w:line="460" w:lineRule="exact"/>
              <w:ind w:left="-2" w:leftChars="-1" w:firstLine="480"/>
              <w:rPr>
                <w:rFonts w:hint="default" w:ascii="宋体" w:hAnsi="宋体"/>
                <w:sz w:val="24"/>
                <w:szCs w:val="24"/>
              </w:rPr>
            </w:pPr>
            <w:r>
              <w:rPr>
                <w:rFonts w:hint="default" w:ascii="宋体" w:hAnsi="宋体"/>
                <w:sz w:val="24"/>
                <w:szCs w:val="24"/>
              </w:rPr>
              <w:t>投资者您好！感谢您的提问。当前行业处于周期低位，公司阶段性盈利承压。为筑牢财务安全防线，公司持续实施稳健的财务策略，严控资本开支、优化营运资金管理、加快资金周转效率。截至二季度末，公司货币资金及高流动性资产储备充足，可足额覆盖一年内到期的有息负债及短期经营负债，短期偿债压力可控。同时公司主体信用评级维持AAA，与各大金融机构合作稳定、授信资源充足、融资渠道畅通。整体来看，公司当前流动性充裕，财务结构稳健，不存在流动性风险，能够充分保障公司持续稳定经营。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18、请问公司半年报与问询函中多晶硅销售数量，金额不一致是怎么一回事？</w:t>
            </w:r>
          </w:p>
          <w:p>
            <w:pPr>
              <w:pStyle w:val="7"/>
              <w:spacing w:line="460" w:lineRule="exact"/>
              <w:ind w:left="-2" w:leftChars="-1" w:firstLine="480"/>
              <w:rPr>
                <w:rFonts w:hint="default" w:ascii="宋体" w:hAnsi="宋体"/>
                <w:sz w:val="24"/>
                <w:szCs w:val="24"/>
              </w:rPr>
            </w:pPr>
            <w:r>
              <w:rPr>
                <w:rFonts w:hint="default" w:ascii="宋体" w:hAnsi="宋体"/>
                <w:sz w:val="24"/>
                <w:szCs w:val="24"/>
              </w:rPr>
              <w:t>投资者您好，您提到的两处文件数据差异主要为数据口径不同所致，其中公司在2025年年度报告问询的回复函中披露的多晶硅销售相关数据为公司直接对外销售多晶硅的数量及金额，公司2026年半年度报告披露的多晶硅销售相关数据除包含前述口径外，还包含公司销售给公司合并报表体内的拉棒企业等并最终以其他形式对外销售的多晶硅产品数量和金额，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19、管理层好，公司组件业务海外市场拓展情况如何啦，怎么看未来海外市场空间？</w:t>
            </w:r>
          </w:p>
          <w:p>
            <w:pPr>
              <w:pStyle w:val="7"/>
              <w:spacing w:line="460" w:lineRule="exact"/>
              <w:ind w:left="-2" w:leftChars="-1" w:firstLine="480"/>
              <w:rPr>
                <w:rFonts w:hint="default" w:ascii="宋体" w:hAnsi="宋体"/>
                <w:sz w:val="24"/>
                <w:szCs w:val="24"/>
              </w:rPr>
            </w:pPr>
            <w:r>
              <w:rPr>
                <w:rFonts w:hint="default" w:ascii="宋体" w:hAnsi="宋体"/>
                <w:sz w:val="24"/>
                <w:szCs w:val="24"/>
              </w:rPr>
              <w:t>投资者，您好！今年上半年，公司在核心欧洲市场落地罗马尼亚、波兰等多个大型标杆项目，实现海外组件销量同比增长，占比提升至近40%。展望未来，全球光伏装机需求在能源转型大趋势下仍有广阔增长空间。欧洲市场持续扩容，中东非等新兴市场快速崛起。公司将持续深化与海外核心电站开发商及分销商的战略合作，同时加速全球营销网络布局，进一步提升海外市场品牌影响力。</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20、公司报告期内的减值是啥情况？</w:t>
            </w:r>
          </w:p>
          <w:p>
            <w:pPr>
              <w:pStyle w:val="7"/>
              <w:spacing w:line="460" w:lineRule="exact"/>
              <w:ind w:left="-2" w:leftChars="-1" w:firstLine="480"/>
              <w:rPr>
                <w:rFonts w:hint="default" w:ascii="宋体" w:hAnsi="宋体"/>
                <w:sz w:val="24"/>
                <w:szCs w:val="24"/>
              </w:rPr>
            </w:pPr>
            <w:r>
              <w:rPr>
                <w:rFonts w:hint="default" w:ascii="宋体" w:hAnsi="宋体"/>
                <w:sz w:val="24"/>
                <w:szCs w:val="24"/>
              </w:rPr>
              <w:t>投资者你好，2026年上半年公司计提资产减值损失共计23.1亿元，其中主要因因存货价格波动计提存货跌价准备，增加资产减值损失20.36亿元，报告期内因随存货出售或耗用转销冲减“营业成本”13.49亿元。总体上，公司计提资产减值准备及存货跌价准备转销事项合计减少利润总额9.61亿元。我们认为该计提减值事项符合《企业会计准则》及公司有关会计政策规定，能更加真实、准确反映公司资产状况和财务状况，计提减值合理有据，不存在损害公司和全体股东利益的情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21、你好，公司前面回购的股份可以拿来收购丽豪吗，这样就不会稀释现有股份</w:t>
            </w:r>
          </w:p>
          <w:p>
            <w:pPr>
              <w:pStyle w:val="7"/>
              <w:spacing w:line="460" w:lineRule="exact"/>
              <w:ind w:left="-2" w:leftChars="-1" w:firstLine="480"/>
              <w:rPr>
                <w:rFonts w:hint="default" w:ascii="宋体" w:hAnsi="宋体"/>
                <w:sz w:val="24"/>
                <w:szCs w:val="24"/>
              </w:rPr>
            </w:pPr>
            <w:r>
              <w:rPr>
                <w:rFonts w:hint="default" w:ascii="宋体" w:hAnsi="宋体"/>
                <w:sz w:val="24"/>
                <w:szCs w:val="24"/>
              </w:rPr>
              <w:t>投资者您好，根据公司董事会授权，公司目前回购账户已回购公司股份101,688,812股，其回购用途为用于员工持股计划或股权激励，如公司未能在相关法律法规规定的期限内实施前述用途，则未使用的已回购股份将依法予以注销，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22、可否分享下公司对于明年国内外光伏装机需求展望，以及站在目前这个时点，中长期需求逻辑有没有啥变化？</w:t>
            </w:r>
          </w:p>
          <w:p>
            <w:pPr>
              <w:pStyle w:val="7"/>
              <w:spacing w:line="460" w:lineRule="exact"/>
              <w:ind w:left="-2" w:leftChars="-1" w:firstLine="480"/>
              <w:rPr>
                <w:rFonts w:hint="default" w:ascii="宋体" w:hAnsi="宋体"/>
                <w:sz w:val="24"/>
                <w:szCs w:val="24"/>
              </w:rPr>
            </w:pPr>
            <w:r>
              <w:rPr>
                <w:rFonts w:hint="default" w:ascii="宋体" w:hAnsi="宋体"/>
                <w:sz w:val="24"/>
                <w:szCs w:val="24"/>
              </w:rPr>
              <w:t>感谢您的提问。关于明年的装机需求，从国内来看，2026年是"十五五"开局之年，受机制电价政策调整等因素影响，上半年国内装机出现高基数回落，但这一调整属于行业从规模扩张向高质量发展转型的阶段性特征，并非趋势性下行。根据中国光伏行业协会预测，2026年国内新增装机回落至180-240GW，而"十五五"期间国内年均新增装机预计将回升至238-287GW，意味着2027年国内市场有望在低基数基础上实现恢复性增长。海外方面，区域分化进一步加剧，欧洲市场增速放缓但保持增长韧性，中东非、东南亚等新兴市场持续高增，成为全球光伏装机核心增量极。综合来看，2027年全球光伏装机有望在2026年调整后迎来温和复苏，装机中枢稳步抬升。中长期来看，光伏需求逻辑不仅没有发生变化，反而在持续强化。全球能源转型的大趋势具有确定性，光伏凭借持续下降的度电成本已成为最具经济性的清洁能源主力；更值得关注的是，AI算力变革正催生全新的需求增长极，全球数据中心的电力需求激增，光伏与储能的结合能够为算力中心提供绿色、经济的电力解决方案，有望成为"光伏+"模式的重要增量空间。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23、三季度过去大半了，能大概说下三季度的经营状况吗</w:t>
            </w:r>
          </w:p>
          <w:p>
            <w:pPr>
              <w:pStyle w:val="7"/>
              <w:spacing w:line="460" w:lineRule="exact"/>
              <w:ind w:left="-2" w:leftChars="-1" w:firstLine="480"/>
              <w:rPr>
                <w:rFonts w:hint="default" w:ascii="宋体" w:hAnsi="宋体"/>
                <w:sz w:val="24"/>
                <w:szCs w:val="24"/>
              </w:rPr>
            </w:pPr>
            <w:r>
              <w:rPr>
                <w:rFonts w:hint="default" w:ascii="宋体" w:hAnsi="宋体"/>
                <w:sz w:val="24"/>
                <w:szCs w:val="24"/>
              </w:rPr>
              <w:t>有关公司三季度经营情况请关注公司后续相关公告内容，谢谢！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24、请问公司今年三季度的开工率和四季度的排产情况？</w:t>
            </w:r>
          </w:p>
          <w:p>
            <w:pPr>
              <w:pStyle w:val="7"/>
              <w:spacing w:line="460" w:lineRule="exact"/>
              <w:ind w:left="-2" w:leftChars="-1" w:firstLine="480"/>
              <w:rPr>
                <w:rFonts w:hint="default" w:ascii="宋体" w:hAnsi="宋体"/>
                <w:sz w:val="24"/>
                <w:szCs w:val="24"/>
              </w:rPr>
            </w:pPr>
            <w:r>
              <w:rPr>
                <w:rFonts w:hint="default" w:ascii="宋体" w:hAnsi="宋体"/>
                <w:sz w:val="24"/>
                <w:szCs w:val="24"/>
              </w:rPr>
              <w:t>感谢您的提问。三季度来看，公司各板块开工率整体保持谨慎有序的运行态势。硅料端，随着西南丰水期到来，公司6月以来综合开工率有所回升，但整体仍延续"有序控产"原则，后续枯水期将根据成本要素、市场环境等综合因素动态调整生产组态。电池组件端，公司Q4将遵循"以销定产、高效优先"导向，根据订单节奏灵活调整。</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25、多晶硅企业联合签署反内卷倡议，叠加能耗强制国标落地，请问从目前来看反内卷政策实际落地效果如何，对公司经营带来哪些实质影响呢？</w:t>
            </w:r>
          </w:p>
          <w:p>
            <w:pPr>
              <w:pStyle w:val="7"/>
              <w:spacing w:line="460" w:lineRule="exact"/>
              <w:ind w:left="-2" w:leftChars="-1" w:firstLine="480"/>
              <w:rPr>
                <w:rFonts w:hint="default" w:ascii="宋体" w:hAnsi="宋体"/>
                <w:sz w:val="24"/>
                <w:szCs w:val="24"/>
              </w:rPr>
            </w:pPr>
            <w:r>
              <w:rPr>
                <w:rFonts w:hint="default" w:ascii="宋体" w:hAnsi="宋体"/>
                <w:sz w:val="24"/>
                <w:szCs w:val="24"/>
              </w:rPr>
              <w:t>尊敬的投资者，您好！2026年光伏行业迎来“反内卷”政策密集落地期，效果正在从预期层面逐步向基本面传导。尤其下半年以来，6月《硅多晶和锗单位产品能源消耗限额》等三项强制性国家标准发布，行业企业面临严格的生产能耗红线与产品能效门槛，明年正式执行后落后产能有望逐步淘汰；7月份紧跟着发布了《光伏行业成本核算模型通则》团体标准，将终结行业成本核算口径不一的乱象，建立起一套可对标、可核查、可落地的度量标准；随后行业主管部门召开价格合规指导会议，要求企业按照团标自查自纠，维护市场价格秩序。受以上积极政策以及下半年国内外装机需求边际回暖影响，8月公司主要环节产品价格均有所回升，经营情况得到改善。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26、请问通威股份董事长：贵公司有没有维护市值的计划？有没有回购计划，如没有，请说明理由，如有，请说明是回购用于员工持股还是回购注销。</w:t>
            </w:r>
          </w:p>
          <w:p>
            <w:pPr>
              <w:pStyle w:val="7"/>
              <w:spacing w:line="460" w:lineRule="exact"/>
              <w:ind w:left="-2" w:leftChars="-1" w:firstLine="480"/>
              <w:rPr>
                <w:rFonts w:hint="default" w:ascii="宋体" w:hAnsi="宋体"/>
                <w:sz w:val="24"/>
                <w:szCs w:val="24"/>
              </w:rPr>
            </w:pPr>
            <w:r>
              <w:rPr>
                <w:rFonts w:hint="default" w:ascii="宋体" w:hAnsi="宋体"/>
                <w:sz w:val="24"/>
                <w:szCs w:val="24"/>
              </w:rPr>
              <w:t>投资者您好！公司始终保持稳健经营，不断提升经营管理水平，深化技术引领，持续增强产品力，巩固公司成本、技术、产品质量等领先优势；同时公司也持续增强投资者沟通工作，积极传递经营业务、技术研发、客户认可等新进展、新亮点。公司此前在行业整体调整期间，公司及控股股东积极公布并实施较大规模的股份回购/增持计划，未来公司将在充分考虑各位投资者意见的基础上，立足于股东利益最大化的角度，结合资本市场情况、自身发展战略、资金需求等各方面因素综合评估并谨慎决策，具体请以公司公告为准。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27、公司有回购计划吗</w:t>
            </w:r>
          </w:p>
          <w:p>
            <w:pPr>
              <w:pStyle w:val="7"/>
              <w:spacing w:line="460" w:lineRule="exact"/>
              <w:ind w:left="-2" w:leftChars="-1" w:firstLine="480"/>
              <w:rPr>
                <w:rFonts w:hint="default" w:ascii="宋体" w:hAnsi="宋体"/>
                <w:sz w:val="24"/>
                <w:szCs w:val="24"/>
              </w:rPr>
            </w:pPr>
            <w:r>
              <w:rPr>
                <w:rFonts w:hint="default" w:ascii="宋体" w:hAnsi="宋体"/>
                <w:sz w:val="24"/>
                <w:szCs w:val="24"/>
              </w:rPr>
              <w:t>投资者您好！公司于2024年4月30日至2025年4月27日实施股份回购101,688,812股，占公司总股本约2.26%，目前存放于公司股份回购专用账户。公司目前暂无正在实施的回购计划，如后续有相关安排，公司将以公告方式予以披露，感谢您的关注。</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28、公司二季度净利润还是亏损，后面净利润有没有机会逐步改善？</w:t>
            </w:r>
          </w:p>
          <w:p>
            <w:pPr>
              <w:pStyle w:val="7"/>
              <w:spacing w:line="460" w:lineRule="exact"/>
              <w:ind w:left="-2" w:leftChars="-1" w:firstLine="480"/>
              <w:rPr>
                <w:rFonts w:hint="default" w:ascii="宋体" w:hAnsi="宋体"/>
                <w:sz w:val="24"/>
                <w:szCs w:val="24"/>
              </w:rPr>
            </w:pPr>
            <w:r>
              <w:rPr>
                <w:rFonts w:hint="default" w:ascii="宋体" w:hAnsi="宋体"/>
                <w:sz w:val="24"/>
                <w:szCs w:val="24"/>
              </w:rPr>
              <w:t>投资者您好！感谢您的提问。二季度公司净利润承压，主要是行业供需尚未完全修复，产业链产品价格持续低位运行所致。</w:t>
            </w:r>
            <w:r>
              <w:rPr>
                <w:rFonts w:hint="default" w:ascii="宋体" w:hAnsi="宋体"/>
                <w:sz w:val="24"/>
                <w:szCs w:val="24"/>
              </w:rPr>
              <w:br w:type="textWrapping"/>
            </w:r>
            <w:r>
              <w:rPr>
                <w:rFonts w:hint="default" w:ascii="宋体" w:hAnsi="宋体"/>
                <w:sz w:val="24"/>
                <w:szCs w:val="24"/>
              </w:rPr>
              <w:t>随着行业内卷治理政策持续落地，近期产业链主要产品价格已出现边际回升。后续随着行业新能效国家标准落地实施，行业落后产能将逐步出清，供需格局有望持续优化。公司将持续深化降本增效，巩固技术、成本、产品质量的核心优势，随着行业景气度逐步修复，公司盈利能力有望稳步改善。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29、近期我听说光伏很多环节都有涨价，特别是硅料，涨的还是可以，想问下什么原因导致的。</w:t>
            </w:r>
          </w:p>
          <w:p>
            <w:pPr>
              <w:pStyle w:val="7"/>
              <w:spacing w:line="460" w:lineRule="exact"/>
              <w:ind w:left="-2" w:leftChars="-1" w:firstLine="480"/>
              <w:rPr>
                <w:rFonts w:hint="default" w:ascii="宋体" w:hAnsi="宋体"/>
                <w:sz w:val="24"/>
                <w:szCs w:val="24"/>
              </w:rPr>
            </w:pPr>
            <w:r>
              <w:rPr>
                <w:rFonts w:hint="default" w:ascii="宋体" w:hAnsi="宋体"/>
                <w:sz w:val="24"/>
                <w:szCs w:val="24"/>
              </w:rPr>
              <w:t>尊敬的投资者，您好！8月以来上游硅料环节报价上涨，主要受益于国内“反内卷”政策的有力推进实施，行业企业积极摆脱低价恶性竞争环境，引导价格合理回升所致。与此同时，受国内外阶段性需求拉动，下游主要环节价格均实现不同程度回升。谢谢！</w:t>
            </w:r>
          </w:p>
          <w:p>
            <w:pPr>
              <w:pStyle w:val="7"/>
              <w:spacing w:line="460" w:lineRule="exact"/>
              <w:ind w:left="-2" w:leftChars="-1" w:firstLine="480"/>
              <w:rPr>
                <w:rFonts w:hint="default" w:ascii="宋体" w:hAnsi="宋体"/>
                <w:sz w:val="24"/>
                <w:szCs w:val="24"/>
              </w:rPr>
            </w:pPr>
          </w:p>
          <w:p>
            <w:pPr>
              <w:pStyle w:val="7"/>
              <w:spacing w:line="460" w:lineRule="exact"/>
              <w:ind w:firstLine="120" w:firstLineChars="50"/>
              <w:rPr>
                <w:rFonts w:ascii="宋体" w:hAnsi="宋体"/>
                <w:sz w:val="24"/>
                <w:szCs w:val="24"/>
              </w:rPr>
            </w:pPr>
          </w:p>
          <w:p>
            <w:pPr>
              <w:adjustRightInd w:val="0"/>
              <w:snapToGrid w:val="0"/>
              <w:spacing w:line="500" w:lineRule="exact"/>
              <w:rPr>
                <w:rFonts w:ascii="宋体" w:hAnsi="宋体"/>
                <w:bCs/>
                <w:i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bCs/>
                <w:iCs/>
                <w:color w:val="000000"/>
                <w:kern w:val="0"/>
                <w:sz w:val="24"/>
              </w:rPr>
            </w:pPr>
            <w:r>
              <w:rPr>
                <w:rFonts w:hAnsi="宋体"/>
                <w:bCs/>
                <w:iCs/>
                <w:color w:val="000000"/>
                <w:kern w:val="0"/>
                <w:sz w:val="24"/>
              </w:rPr>
              <w:t>附件清单（如有）</w:t>
            </w: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bCs/>
                <w:iCs/>
                <w:color w:val="000000"/>
                <w:kern w:val="0"/>
                <w:sz w:val="24"/>
              </w:rPr>
            </w:pPr>
            <w:r>
              <w:rPr>
                <w:rFonts w:hAnsi="宋体"/>
                <w:bCs/>
                <w:iCs/>
                <w:color w:val="000000"/>
                <w:kern w:val="0"/>
                <w:sz w:val="24"/>
              </w:rPr>
              <w:t>日期</w:t>
            </w: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bCs/>
                <w:iCs/>
                <w:color w:val="000000"/>
                <w:sz w:val="24"/>
              </w:rPr>
            </w:pPr>
            <w:r>
              <w:rPr>
                <w:bCs/>
                <w:iCs/>
                <w:color w:val="000000"/>
                <w:sz w:val="24"/>
              </w:rPr>
              <w:t>2026-09-11</w:t>
            </w:r>
          </w:p>
        </w:tc>
      </w:tr>
    </w:tbl>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pPr>
    <w:r>
      <w:rPr>
        <w:rFonts w:hint="eastAsia" w:ascii="仿宋" w:hAnsi="仿宋" w:eastAsia="仿宋"/>
        <w:sz w:val="24"/>
        <w:szCs w:val="24"/>
        <w:lang w:val="en-US" w:eastAsia="zh-Hans"/>
      </w:rPr>
      <w:t>深圳市全景网络有限公司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jYzUzMWQ4OWI0YzBkYjYzMDRhZTY5ZjZkYmFmYTgifQ=="/>
  </w:docVars>
  <w:rsids>
    <w:rsidRoot w:val="006861C7"/>
    <w:rsid w:val="000268C0"/>
    <w:rsid w:val="000363B5"/>
    <w:rsid w:val="000375D7"/>
    <w:rsid w:val="00043015"/>
    <w:rsid w:val="00046DDE"/>
    <w:rsid w:val="00047EB9"/>
    <w:rsid w:val="00060A74"/>
    <w:rsid w:val="00067110"/>
    <w:rsid w:val="0009298A"/>
    <w:rsid w:val="000A2808"/>
    <w:rsid w:val="000A3BAC"/>
    <w:rsid w:val="000C26FD"/>
    <w:rsid w:val="000C2D85"/>
    <w:rsid w:val="000E5700"/>
    <w:rsid w:val="000F0C4B"/>
    <w:rsid w:val="000F0E22"/>
    <w:rsid w:val="00105A04"/>
    <w:rsid w:val="001169A9"/>
    <w:rsid w:val="00125EB2"/>
    <w:rsid w:val="00142A4C"/>
    <w:rsid w:val="00144279"/>
    <w:rsid w:val="001452FF"/>
    <w:rsid w:val="0016617A"/>
    <w:rsid w:val="00167E99"/>
    <w:rsid w:val="001975AB"/>
    <w:rsid w:val="001A00F5"/>
    <w:rsid w:val="001A1F65"/>
    <w:rsid w:val="001A5CE9"/>
    <w:rsid w:val="001C50AD"/>
    <w:rsid w:val="001D22EE"/>
    <w:rsid w:val="001D4C89"/>
    <w:rsid w:val="001E1838"/>
    <w:rsid w:val="001E3145"/>
    <w:rsid w:val="001E6509"/>
    <w:rsid w:val="001E7968"/>
    <w:rsid w:val="0022180A"/>
    <w:rsid w:val="00223ABC"/>
    <w:rsid w:val="002241B9"/>
    <w:rsid w:val="002274D9"/>
    <w:rsid w:val="0023455A"/>
    <w:rsid w:val="00237994"/>
    <w:rsid w:val="00251D58"/>
    <w:rsid w:val="002530EE"/>
    <w:rsid w:val="002549E6"/>
    <w:rsid w:val="00256602"/>
    <w:rsid w:val="00271C8D"/>
    <w:rsid w:val="00273B53"/>
    <w:rsid w:val="0028080C"/>
    <w:rsid w:val="00295257"/>
    <w:rsid w:val="00297703"/>
    <w:rsid w:val="002A0826"/>
    <w:rsid w:val="002A0984"/>
    <w:rsid w:val="002A589B"/>
    <w:rsid w:val="002B1184"/>
    <w:rsid w:val="002B71B8"/>
    <w:rsid w:val="002B7469"/>
    <w:rsid w:val="002C22C6"/>
    <w:rsid w:val="002C6568"/>
    <w:rsid w:val="002C723B"/>
    <w:rsid w:val="002D39BC"/>
    <w:rsid w:val="002E1B15"/>
    <w:rsid w:val="002E1D3A"/>
    <w:rsid w:val="003005F0"/>
    <w:rsid w:val="003030BF"/>
    <w:rsid w:val="00304F89"/>
    <w:rsid w:val="00306023"/>
    <w:rsid w:val="00327D5D"/>
    <w:rsid w:val="00344914"/>
    <w:rsid w:val="00346917"/>
    <w:rsid w:val="00354A7B"/>
    <w:rsid w:val="00360FDA"/>
    <w:rsid w:val="00363075"/>
    <w:rsid w:val="00367D18"/>
    <w:rsid w:val="00372A1C"/>
    <w:rsid w:val="0037435A"/>
    <w:rsid w:val="00377D8F"/>
    <w:rsid w:val="00383679"/>
    <w:rsid w:val="003A1E68"/>
    <w:rsid w:val="003B0122"/>
    <w:rsid w:val="003B0BE5"/>
    <w:rsid w:val="003D18F1"/>
    <w:rsid w:val="003E001E"/>
    <w:rsid w:val="003F7C4D"/>
    <w:rsid w:val="0040075F"/>
    <w:rsid w:val="00403300"/>
    <w:rsid w:val="004118C0"/>
    <w:rsid w:val="00417A31"/>
    <w:rsid w:val="0042004B"/>
    <w:rsid w:val="00433384"/>
    <w:rsid w:val="0043777D"/>
    <w:rsid w:val="0045767F"/>
    <w:rsid w:val="00463E9B"/>
    <w:rsid w:val="00467414"/>
    <w:rsid w:val="00473F30"/>
    <w:rsid w:val="0048591A"/>
    <w:rsid w:val="00486D86"/>
    <w:rsid w:val="0048721A"/>
    <w:rsid w:val="004A0BD5"/>
    <w:rsid w:val="004A1BBF"/>
    <w:rsid w:val="004A73E5"/>
    <w:rsid w:val="004C19BF"/>
    <w:rsid w:val="004D7640"/>
    <w:rsid w:val="004E1A9B"/>
    <w:rsid w:val="00500AB6"/>
    <w:rsid w:val="005155FB"/>
    <w:rsid w:val="00523907"/>
    <w:rsid w:val="00537C53"/>
    <w:rsid w:val="005438F5"/>
    <w:rsid w:val="00544901"/>
    <w:rsid w:val="005474D3"/>
    <w:rsid w:val="00550737"/>
    <w:rsid w:val="00555DD2"/>
    <w:rsid w:val="00565ED9"/>
    <w:rsid w:val="005760C6"/>
    <w:rsid w:val="00585A1B"/>
    <w:rsid w:val="00591260"/>
    <w:rsid w:val="00591314"/>
    <w:rsid w:val="00593D40"/>
    <w:rsid w:val="00595F1B"/>
    <w:rsid w:val="005A3BE0"/>
    <w:rsid w:val="005B1026"/>
    <w:rsid w:val="005B642F"/>
    <w:rsid w:val="005C04C1"/>
    <w:rsid w:val="005C1785"/>
    <w:rsid w:val="005D2D87"/>
    <w:rsid w:val="005D6A09"/>
    <w:rsid w:val="005E2B4B"/>
    <w:rsid w:val="005E5F63"/>
    <w:rsid w:val="005E6BA1"/>
    <w:rsid w:val="0060779A"/>
    <w:rsid w:val="00622F13"/>
    <w:rsid w:val="00625503"/>
    <w:rsid w:val="0062662D"/>
    <w:rsid w:val="00632E78"/>
    <w:rsid w:val="006344F1"/>
    <w:rsid w:val="00637186"/>
    <w:rsid w:val="00646DF4"/>
    <w:rsid w:val="00651DE6"/>
    <w:rsid w:val="006523BB"/>
    <w:rsid w:val="0065347E"/>
    <w:rsid w:val="00654B49"/>
    <w:rsid w:val="00662505"/>
    <w:rsid w:val="0066674C"/>
    <w:rsid w:val="006760F7"/>
    <w:rsid w:val="006861C7"/>
    <w:rsid w:val="00686DDF"/>
    <w:rsid w:val="00697B12"/>
    <w:rsid w:val="006A55BB"/>
    <w:rsid w:val="006A7613"/>
    <w:rsid w:val="006B661A"/>
    <w:rsid w:val="006B7D00"/>
    <w:rsid w:val="006C6BC5"/>
    <w:rsid w:val="006D61A2"/>
    <w:rsid w:val="006E1DB4"/>
    <w:rsid w:val="00753DB6"/>
    <w:rsid w:val="00763847"/>
    <w:rsid w:val="00771FE3"/>
    <w:rsid w:val="00776BDE"/>
    <w:rsid w:val="00786870"/>
    <w:rsid w:val="00792237"/>
    <w:rsid w:val="0079272A"/>
    <w:rsid w:val="007A1DA9"/>
    <w:rsid w:val="007B2252"/>
    <w:rsid w:val="007B79D9"/>
    <w:rsid w:val="007C67B1"/>
    <w:rsid w:val="007E354A"/>
    <w:rsid w:val="007E69C8"/>
    <w:rsid w:val="0080525B"/>
    <w:rsid w:val="008062C5"/>
    <w:rsid w:val="0080741A"/>
    <w:rsid w:val="00814B5B"/>
    <w:rsid w:val="00836F34"/>
    <w:rsid w:val="00843E73"/>
    <w:rsid w:val="00844EBF"/>
    <w:rsid w:val="00854F61"/>
    <w:rsid w:val="00864202"/>
    <w:rsid w:val="00873B59"/>
    <w:rsid w:val="0087701F"/>
    <w:rsid w:val="0089283D"/>
    <w:rsid w:val="008A0ADC"/>
    <w:rsid w:val="008A1BAB"/>
    <w:rsid w:val="008B38B7"/>
    <w:rsid w:val="008B458E"/>
    <w:rsid w:val="008C4D4A"/>
    <w:rsid w:val="008E11AE"/>
    <w:rsid w:val="008E1708"/>
    <w:rsid w:val="008E4844"/>
    <w:rsid w:val="00904492"/>
    <w:rsid w:val="00904DFB"/>
    <w:rsid w:val="0091457B"/>
    <w:rsid w:val="00923763"/>
    <w:rsid w:val="00930ED6"/>
    <w:rsid w:val="0093293F"/>
    <w:rsid w:val="00933105"/>
    <w:rsid w:val="009474EF"/>
    <w:rsid w:val="00962626"/>
    <w:rsid w:val="009767DD"/>
    <w:rsid w:val="00977AF2"/>
    <w:rsid w:val="00985FC5"/>
    <w:rsid w:val="00993BDD"/>
    <w:rsid w:val="009A6DFB"/>
    <w:rsid w:val="009B6EC0"/>
    <w:rsid w:val="009C7FAF"/>
    <w:rsid w:val="009D4199"/>
    <w:rsid w:val="009E5E6A"/>
    <w:rsid w:val="009F0DD5"/>
    <w:rsid w:val="009F1B95"/>
    <w:rsid w:val="009F6C05"/>
    <w:rsid w:val="00A13CB6"/>
    <w:rsid w:val="00A14A1A"/>
    <w:rsid w:val="00A22CDD"/>
    <w:rsid w:val="00A25AEE"/>
    <w:rsid w:val="00A31EB1"/>
    <w:rsid w:val="00A33AEA"/>
    <w:rsid w:val="00A461CD"/>
    <w:rsid w:val="00A469C5"/>
    <w:rsid w:val="00A5317D"/>
    <w:rsid w:val="00A6284E"/>
    <w:rsid w:val="00A63E81"/>
    <w:rsid w:val="00A8775A"/>
    <w:rsid w:val="00AA5998"/>
    <w:rsid w:val="00AB07E7"/>
    <w:rsid w:val="00AD1BA8"/>
    <w:rsid w:val="00B02A29"/>
    <w:rsid w:val="00B03522"/>
    <w:rsid w:val="00B04AD6"/>
    <w:rsid w:val="00B14CAA"/>
    <w:rsid w:val="00B257CE"/>
    <w:rsid w:val="00B4746C"/>
    <w:rsid w:val="00B65354"/>
    <w:rsid w:val="00B71A0E"/>
    <w:rsid w:val="00B81765"/>
    <w:rsid w:val="00B832F5"/>
    <w:rsid w:val="00BA2FAB"/>
    <w:rsid w:val="00BB5E28"/>
    <w:rsid w:val="00BD15F3"/>
    <w:rsid w:val="00BD7986"/>
    <w:rsid w:val="00BD79D3"/>
    <w:rsid w:val="00C04F82"/>
    <w:rsid w:val="00C15AC0"/>
    <w:rsid w:val="00C26030"/>
    <w:rsid w:val="00C41091"/>
    <w:rsid w:val="00C63056"/>
    <w:rsid w:val="00C661D1"/>
    <w:rsid w:val="00C775BA"/>
    <w:rsid w:val="00C85331"/>
    <w:rsid w:val="00C85A50"/>
    <w:rsid w:val="00C94D46"/>
    <w:rsid w:val="00CA443A"/>
    <w:rsid w:val="00CB2461"/>
    <w:rsid w:val="00CB37FD"/>
    <w:rsid w:val="00CC4D65"/>
    <w:rsid w:val="00CC61E7"/>
    <w:rsid w:val="00CD25AD"/>
    <w:rsid w:val="00CD3FFC"/>
    <w:rsid w:val="00CF565C"/>
    <w:rsid w:val="00D016A3"/>
    <w:rsid w:val="00D512E3"/>
    <w:rsid w:val="00D602C9"/>
    <w:rsid w:val="00DA26A9"/>
    <w:rsid w:val="00DB01FF"/>
    <w:rsid w:val="00DC7778"/>
    <w:rsid w:val="00DE7391"/>
    <w:rsid w:val="00DF2DB5"/>
    <w:rsid w:val="00DF6560"/>
    <w:rsid w:val="00E04CC0"/>
    <w:rsid w:val="00E136FF"/>
    <w:rsid w:val="00E32528"/>
    <w:rsid w:val="00E35F26"/>
    <w:rsid w:val="00E53165"/>
    <w:rsid w:val="00E61EF7"/>
    <w:rsid w:val="00E663B4"/>
    <w:rsid w:val="00E80CEB"/>
    <w:rsid w:val="00EA5103"/>
    <w:rsid w:val="00EA6FB9"/>
    <w:rsid w:val="00EB5E6A"/>
    <w:rsid w:val="00EC2AD7"/>
    <w:rsid w:val="00ED7DE0"/>
    <w:rsid w:val="00EE7891"/>
    <w:rsid w:val="00EF49FE"/>
    <w:rsid w:val="00EF5341"/>
    <w:rsid w:val="00F04908"/>
    <w:rsid w:val="00F07C21"/>
    <w:rsid w:val="00F12EF6"/>
    <w:rsid w:val="00F21065"/>
    <w:rsid w:val="00F24CB4"/>
    <w:rsid w:val="00F43465"/>
    <w:rsid w:val="00F45475"/>
    <w:rsid w:val="00F64E72"/>
    <w:rsid w:val="00F70C7D"/>
    <w:rsid w:val="00F9272E"/>
    <w:rsid w:val="00F97743"/>
    <w:rsid w:val="00FA6DAF"/>
    <w:rsid w:val="00FC6884"/>
    <w:rsid w:val="00FE62F3"/>
    <w:rsid w:val="00FF71D2"/>
    <w:rsid w:val="119C6019"/>
    <w:rsid w:val="16482BA4"/>
    <w:rsid w:val="1B2418A5"/>
    <w:rsid w:val="1FBFC074"/>
    <w:rsid w:val="280E4CD2"/>
    <w:rsid w:val="36FB9E1F"/>
    <w:rsid w:val="3BFA3B96"/>
    <w:rsid w:val="3CEF3472"/>
    <w:rsid w:val="3EFF16E9"/>
    <w:rsid w:val="614442C4"/>
    <w:rsid w:val="77CF73AC"/>
    <w:rsid w:val="78FF0116"/>
    <w:rsid w:val="7B39435C"/>
    <w:rsid w:val="B7DDD54D"/>
    <w:rsid w:val="E3FFE6ED"/>
    <w:rsid w:val="F5DB8A63"/>
    <w:rsid w:val="F797912E"/>
    <w:rsid w:val="FE7B489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footer"/>
    <w:basedOn w:val="1"/>
    <w:link w:val="11"/>
    <w:autoRedefine/>
    <w:qFormat/>
    <w:uiPriority w:val="0"/>
    <w:pPr>
      <w:tabs>
        <w:tab w:val="center" w:pos="4153"/>
        <w:tab w:val="right" w:pos="8306"/>
      </w:tabs>
      <w:snapToGrid w:val="0"/>
      <w:jc w:val="left"/>
    </w:pPr>
    <w:rPr>
      <w:sz w:val="18"/>
      <w:szCs w:val="18"/>
    </w:rPr>
  </w:style>
  <w:style w:type="paragraph" w:styleId="3">
    <w:name w:val="header"/>
    <w:basedOn w:val="1"/>
    <w:link w:val="12"/>
    <w:autoRedefine/>
    <w:qFormat/>
    <w:uiPriority w:val="0"/>
    <w:pPr>
      <w:pBdr>
        <w:bottom w:val="single" w:color="auto" w:sz="6" w:space="1"/>
      </w:pBdr>
      <w:tabs>
        <w:tab w:val="center" w:pos="4153"/>
        <w:tab w:val="right" w:pos="8306"/>
      </w:tabs>
      <w:snapToGrid w:val="0"/>
      <w:jc w:val="center"/>
    </w:pPr>
    <w:rPr>
      <w:sz w:val="18"/>
      <w:szCs w:val="18"/>
    </w:rPr>
  </w:style>
  <w:style w:type="paragraph" w:styleId="4">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customStyle="1" w:styleId="7">
    <w:name w:val="_Style 6"/>
    <w:basedOn w:val="1"/>
    <w:autoRedefine/>
    <w:qFormat/>
    <w:uiPriority w:val="34"/>
    <w:pPr>
      <w:ind w:firstLine="420" w:firstLineChars="200"/>
    </w:pPr>
    <w:rPr>
      <w:rFonts w:ascii="Calibri" w:hAnsi="Calibri" w:eastAsia="宋体" w:cs="Times New Roman"/>
      <w:szCs w:val="22"/>
    </w:rPr>
  </w:style>
  <w:style w:type="paragraph" w:customStyle="1" w:styleId="8">
    <w:name w:val="Char Char Char"/>
    <w:basedOn w:val="1"/>
    <w:autoRedefine/>
    <w:qFormat/>
    <w:uiPriority w:val="0"/>
    <w:rPr>
      <w:szCs w:val="21"/>
    </w:rPr>
  </w:style>
  <w:style w:type="paragraph" w:customStyle="1" w:styleId="9">
    <w:name w:val="Char Char Char Char Char Char Char Char Char Char Char Char Char Char Char Char"/>
    <w:basedOn w:val="1"/>
    <w:autoRedefine/>
    <w:qFormat/>
    <w:uiPriority w:val="0"/>
  </w:style>
  <w:style w:type="paragraph" w:customStyle="1" w:styleId="10">
    <w:name w:val=" Char Char Char"/>
    <w:basedOn w:val="1"/>
    <w:autoRedefine/>
    <w:qFormat/>
    <w:uiPriority w:val="0"/>
  </w:style>
  <w:style w:type="character" w:customStyle="1" w:styleId="11">
    <w:name w:val="页脚 Char"/>
    <w:basedOn w:val="6"/>
    <w:link w:val="2"/>
    <w:autoRedefine/>
    <w:qFormat/>
    <w:uiPriority w:val="0"/>
    <w:rPr>
      <w:kern w:val="2"/>
      <w:sz w:val="18"/>
      <w:szCs w:val="18"/>
    </w:rPr>
  </w:style>
  <w:style w:type="character" w:customStyle="1" w:styleId="12">
    <w:name w:val="页眉 Char"/>
    <w:basedOn w:val="6"/>
    <w:link w:val="3"/>
    <w:autoRedefine/>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Pages>
  <Words>189</Words>
  <Characters>389</Characters>
  <Lines>60</Lines>
  <Paragraphs>17</Paragraphs>
  <TotalTime>2</TotalTime>
  <ScaleCrop>false</ScaleCrop>
  <LinksUpToDate>false</LinksUpToDate>
  <CharactersWithSpaces>513</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2012-09-09T08:59:00Z</dcterms:created>
  <dc:creator>微软用户</dc:creator>
  <cp:lastModifiedBy>陈泓宇</cp:lastModifiedBy>
  <cp:lastPrinted>2014-02-21T05:34:00Z</cp:lastPrinted>
  <dcterms:modified xsi:type="dcterms:W3CDTF">2026-09-11T09:10:35Z</dcterms:modified>
  <cp:revision>262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3378DF92D5494EA79182626F58817F75</vt:lpwstr>
  </property>
</Properties>
</file>