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BAD1F">
      <w:pPr>
        <w:spacing w:before="156" w:beforeLines="50" w:after="156" w:afterLines="50" w:line="400" w:lineRule="exact"/>
        <w:jc w:val="center"/>
        <w:rPr>
          <w:rFonts w:hint="eastAsia" w:ascii="宋体" w:hAnsi="宋体"/>
          <w:b/>
          <w:bCs/>
          <w:iCs/>
          <w:color w:val="000000"/>
          <w:sz w:val="32"/>
          <w:szCs w:val="32"/>
        </w:rPr>
      </w:pPr>
      <w:r>
        <w:rPr>
          <w:rFonts w:ascii="宋体" w:hAnsi="宋体"/>
          <w:b/>
          <w:bCs/>
          <w:iCs/>
          <w:color w:val="000000"/>
          <w:sz w:val="32"/>
          <w:szCs w:val="32"/>
        </w:rPr>
        <w:t>珠海珠免集团股份有限公司</w:t>
      </w:r>
    </w:p>
    <w:p w14:paraId="726D4CDC">
      <w:pPr>
        <w:spacing w:before="156" w:beforeLines="50" w:after="156" w:afterLines="50" w:line="400" w:lineRule="exact"/>
        <w:jc w:val="center"/>
        <w:rPr>
          <w:rFonts w:hint="eastAsia" w:ascii="宋体" w:hAnsi="宋体"/>
          <w:b/>
          <w:bCs/>
          <w:iCs/>
          <w:color w:val="000000"/>
          <w:sz w:val="32"/>
          <w:szCs w:val="32"/>
        </w:rPr>
      </w:pPr>
      <w:r>
        <w:rPr>
          <w:rFonts w:hint="eastAsia" w:ascii="宋体" w:hAnsi="宋体"/>
          <w:b/>
          <w:bCs/>
          <w:iCs/>
          <w:color w:val="000000"/>
          <w:sz w:val="32"/>
          <w:szCs w:val="32"/>
        </w:rPr>
        <w:t>投资者关系活动记录表</w:t>
      </w:r>
    </w:p>
    <w:p w14:paraId="662A8284">
      <w:pPr>
        <w:spacing w:line="400" w:lineRule="exact"/>
        <w:jc w:val="right"/>
        <w:rPr>
          <w:bCs/>
          <w:iCs/>
          <w:color w:val="000000"/>
          <w:sz w:val="22"/>
          <w:szCs w:val="22"/>
        </w:rPr>
      </w:pPr>
      <w:r>
        <w:rPr>
          <w:rFonts w:hint="eastAsia" w:ascii="宋体" w:hAnsi="宋体"/>
          <w:bCs/>
          <w:iCs/>
          <w:color w:val="000000"/>
          <w:sz w:val="24"/>
        </w:rPr>
        <w:t xml:space="preserve">                                                   </w:t>
      </w:r>
      <w:r>
        <w:rPr>
          <w:bCs/>
          <w:iCs/>
          <w:color w:val="000000"/>
          <w:sz w:val="22"/>
          <w:szCs w:val="22"/>
        </w:rPr>
        <w:t>编号：202</w:t>
      </w:r>
      <w:r>
        <w:rPr>
          <w:rFonts w:hint="eastAsia"/>
          <w:bCs/>
          <w:iCs/>
          <w:color w:val="000000"/>
          <w:sz w:val="22"/>
          <w:szCs w:val="22"/>
        </w:rPr>
        <w:t>6</w:t>
      </w:r>
      <w:r>
        <w:rPr>
          <w:bCs/>
          <w:iCs/>
          <w:color w:val="000000"/>
          <w:sz w:val="22"/>
          <w:szCs w:val="22"/>
        </w:rPr>
        <w:t>-00</w:t>
      </w:r>
      <w:r>
        <w:rPr>
          <w:rFonts w:hint="eastAsia"/>
          <w:bCs/>
          <w:iCs/>
          <w:color w:val="000000"/>
          <w:sz w:val="22"/>
          <w:szCs w:val="22"/>
        </w:rPr>
        <w:t>3</w:t>
      </w:r>
    </w:p>
    <w:tbl>
      <w:tblPr>
        <w:tblStyle w:val="9"/>
        <w:tblW w:w="8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6607"/>
      </w:tblGrid>
      <w:tr w14:paraId="1DA5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3" w:type="dxa"/>
            <w:tcBorders>
              <w:top w:val="single" w:color="auto" w:sz="4" w:space="0"/>
              <w:left w:val="single" w:color="auto" w:sz="4" w:space="0"/>
              <w:bottom w:val="single" w:color="auto" w:sz="4" w:space="0"/>
              <w:right w:val="single" w:color="auto" w:sz="4" w:space="0"/>
            </w:tcBorders>
            <w:vAlign w:val="center"/>
          </w:tcPr>
          <w:p w14:paraId="07DDDFB1">
            <w:pPr>
              <w:spacing w:line="420" w:lineRule="exact"/>
              <w:jc w:val="left"/>
              <w:rPr>
                <w:rFonts w:hint="eastAsia" w:hAnsi="宋体"/>
                <w:bCs/>
                <w:iCs/>
                <w:color w:val="000000"/>
                <w:kern w:val="0"/>
                <w:sz w:val="24"/>
              </w:rPr>
            </w:pPr>
            <w:r>
              <w:rPr>
                <w:rFonts w:hAnsi="宋体"/>
                <w:bCs/>
                <w:iCs/>
                <w:color w:val="000000"/>
                <w:kern w:val="0"/>
                <w:sz w:val="24"/>
              </w:rPr>
              <w:t>投资者关系</w:t>
            </w:r>
          </w:p>
          <w:p w14:paraId="65DB45B1">
            <w:pPr>
              <w:spacing w:line="420" w:lineRule="exact"/>
              <w:jc w:val="left"/>
              <w:rPr>
                <w:bCs/>
                <w:iCs/>
                <w:color w:val="000000"/>
                <w:sz w:val="24"/>
              </w:rPr>
            </w:pPr>
            <w:r>
              <w:rPr>
                <w:rFonts w:hAnsi="宋体"/>
                <w:bCs/>
                <w:iCs/>
                <w:color w:val="000000"/>
                <w:kern w:val="0"/>
                <w:sz w:val="24"/>
              </w:rPr>
              <w:t>活动类别</w:t>
            </w:r>
          </w:p>
        </w:tc>
        <w:tc>
          <w:tcPr>
            <w:tcW w:w="6607" w:type="dxa"/>
            <w:tcBorders>
              <w:top w:val="single" w:color="auto" w:sz="4" w:space="0"/>
              <w:left w:val="single" w:color="auto" w:sz="4" w:space="0"/>
              <w:bottom w:val="single" w:color="auto" w:sz="4" w:space="0"/>
              <w:right w:val="single" w:color="auto" w:sz="4" w:space="0"/>
            </w:tcBorders>
          </w:tcPr>
          <w:p w14:paraId="280D8094">
            <w:pPr>
              <w:spacing w:line="420" w:lineRule="exact"/>
              <w:rPr>
                <w:bCs/>
                <w:iCs/>
                <w:color w:val="000000"/>
                <w:sz w:val="24"/>
              </w:rPr>
            </w:pPr>
            <w:r>
              <w:rPr>
                <w:rFonts w:hint="eastAsia"/>
                <w:bCs/>
                <w:iCs/>
                <w:color w:val="000000"/>
                <w:kern w:val="0"/>
                <w:sz w:val="24"/>
              </w:rPr>
              <w:t>□</w:t>
            </w:r>
            <w:r>
              <w:rPr>
                <w:rFonts w:hAnsi="宋体"/>
                <w:kern w:val="0"/>
                <w:sz w:val="24"/>
              </w:rPr>
              <w:t>特定对象调研</w:t>
            </w:r>
            <w:r>
              <w:rPr>
                <w:kern w:val="0"/>
                <w:sz w:val="24"/>
              </w:rPr>
              <w:t xml:space="preserve">       </w:t>
            </w:r>
            <w:r>
              <w:rPr>
                <w:rFonts w:hint="eastAsia"/>
                <w:kern w:val="0"/>
                <w:sz w:val="24"/>
              </w:rPr>
              <w:t xml:space="preserve"> </w:t>
            </w:r>
            <w:r>
              <w:rPr>
                <w:rFonts w:hint="eastAsia"/>
                <w:bCs/>
                <w:iCs/>
                <w:color w:val="000000"/>
                <w:kern w:val="0"/>
                <w:sz w:val="24"/>
              </w:rPr>
              <w:t>□</w:t>
            </w:r>
            <w:r>
              <w:rPr>
                <w:rFonts w:hAnsi="宋体"/>
                <w:kern w:val="0"/>
                <w:sz w:val="24"/>
              </w:rPr>
              <w:t>分析师会议</w:t>
            </w:r>
          </w:p>
          <w:p w14:paraId="290A691C">
            <w:pPr>
              <w:spacing w:line="420" w:lineRule="exact"/>
              <w:rPr>
                <w:bCs/>
                <w:iCs/>
                <w:color w:val="000000"/>
                <w:kern w:val="0"/>
                <w:sz w:val="24"/>
              </w:rPr>
            </w:pPr>
            <w:r>
              <w:rPr>
                <w:rFonts w:hint="eastAsia"/>
                <w:bCs/>
                <w:iCs/>
                <w:color w:val="000000"/>
                <w:kern w:val="0"/>
                <w:sz w:val="24"/>
              </w:rPr>
              <w:t>□</w:t>
            </w:r>
            <w:r>
              <w:rPr>
                <w:rFonts w:hAnsi="宋体"/>
                <w:kern w:val="0"/>
                <w:sz w:val="24"/>
              </w:rPr>
              <w:t>媒体采访</w:t>
            </w:r>
            <w:r>
              <w:rPr>
                <w:kern w:val="0"/>
                <w:sz w:val="24"/>
              </w:rPr>
              <w:t xml:space="preserve">            </w:t>
            </w:r>
            <w:r>
              <w:rPr>
                <w:rFonts w:hint="eastAsia"/>
                <w:bCs/>
                <w:iCs/>
                <w:color w:val="000000"/>
                <w:kern w:val="0"/>
                <w:sz w:val="24"/>
              </w:rPr>
              <w:t>☑</w:t>
            </w:r>
            <w:r>
              <w:rPr>
                <w:rFonts w:hAnsi="宋体"/>
                <w:kern w:val="0"/>
                <w:sz w:val="24"/>
              </w:rPr>
              <w:t>业绩说明会</w:t>
            </w:r>
          </w:p>
          <w:p w14:paraId="0F6F2B9F">
            <w:pPr>
              <w:spacing w:line="420" w:lineRule="exact"/>
              <w:rPr>
                <w:bCs/>
                <w:iCs/>
                <w:color w:val="000000"/>
                <w:kern w:val="0"/>
                <w:sz w:val="24"/>
              </w:rPr>
            </w:pPr>
            <w:r>
              <w:rPr>
                <w:rFonts w:hint="eastAsia"/>
                <w:bCs/>
                <w:iCs/>
                <w:color w:val="000000"/>
                <w:kern w:val="0"/>
                <w:sz w:val="24"/>
              </w:rPr>
              <w:t>□</w:t>
            </w:r>
            <w:r>
              <w:rPr>
                <w:rFonts w:hAnsi="宋体"/>
                <w:kern w:val="0"/>
                <w:sz w:val="24"/>
              </w:rPr>
              <w:t>新闻发布会</w:t>
            </w:r>
            <w:r>
              <w:rPr>
                <w:kern w:val="0"/>
                <w:sz w:val="24"/>
              </w:rPr>
              <w:t xml:space="preserve">          </w:t>
            </w:r>
            <w:r>
              <w:rPr>
                <w:rFonts w:hint="eastAsia"/>
                <w:bCs/>
                <w:iCs/>
                <w:color w:val="000000"/>
                <w:kern w:val="0"/>
                <w:sz w:val="24"/>
              </w:rPr>
              <w:t>□</w:t>
            </w:r>
            <w:r>
              <w:rPr>
                <w:rFonts w:hAnsi="宋体"/>
                <w:kern w:val="0"/>
                <w:sz w:val="24"/>
              </w:rPr>
              <w:t>路演活动</w:t>
            </w:r>
          </w:p>
          <w:p w14:paraId="36E91B13">
            <w:pPr>
              <w:tabs>
                <w:tab w:val="left" w:pos="3045"/>
                <w:tab w:val="center" w:pos="3199"/>
              </w:tabs>
              <w:spacing w:line="420" w:lineRule="exact"/>
              <w:rPr>
                <w:bCs/>
                <w:iCs/>
                <w:color w:val="000000"/>
                <w:kern w:val="0"/>
                <w:sz w:val="24"/>
              </w:rPr>
            </w:pPr>
            <w:r>
              <w:rPr>
                <w:rFonts w:hint="eastAsia"/>
                <w:bCs/>
                <w:iCs/>
                <w:color w:val="000000"/>
                <w:kern w:val="0"/>
                <w:sz w:val="24"/>
              </w:rPr>
              <w:t>□</w:t>
            </w:r>
            <w:r>
              <w:rPr>
                <w:rFonts w:hAnsi="宋体"/>
                <w:kern w:val="0"/>
                <w:sz w:val="24"/>
              </w:rPr>
              <w:t>现场参观</w:t>
            </w:r>
          </w:p>
          <w:p w14:paraId="27C0771A">
            <w:pPr>
              <w:tabs>
                <w:tab w:val="center" w:pos="3199"/>
              </w:tabs>
              <w:spacing w:line="420" w:lineRule="exact"/>
              <w:rPr>
                <w:bCs/>
                <w:iCs/>
                <w:color w:val="000000"/>
                <w:sz w:val="24"/>
              </w:rPr>
            </w:pPr>
            <w:r>
              <w:rPr>
                <w:rFonts w:hint="eastAsia"/>
                <w:bCs/>
                <w:iCs/>
                <w:color w:val="000000"/>
                <w:kern w:val="0"/>
                <w:sz w:val="24"/>
              </w:rPr>
              <w:t>□</w:t>
            </w:r>
            <w:r>
              <w:rPr>
                <w:rFonts w:hAnsi="宋体"/>
                <w:kern w:val="0"/>
                <w:sz w:val="24"/>
              </w:rPr>
              <w:t>其他</w:t>
            </w:r>
            <w:bookmarkStart w:id="0" w:name="_GoBack"/>
            <w:bookmarkEnd w:id="0"/>
          </w:p>
        </w:tc>
      </w:tr>
      <w:tr w14:paraId="423A3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1703" w:type="dxa"/>
            <w:tcBorders>
              <w:top w:val="single" w:color="auto" w:sz="4" w:space="0"/>
              <w:left w:val="single" w:color="auto" w:sz="4" w:space="0"/>
              <w:right w:val="single" w:color="auto" w:sz="4" w:space="0"/>
            </w:tcBorders>
            <w:vAlign w:val="center"/>
          </w:tcPr>
          <w:p w14:paraId="0376F495">
            <w:pPr>
              <w:spacing w:line="420" w:lineRule="exact"/>
              <w:rPr>
                <w:bCs/>
                <w:iCs/>
                <w:color w:val="000000"/>
                <w:kern w:val="0"/>
                <w:sz w:val="24"/>
              </w:rPr>
            </w:pPr>
            <w:r>
              <w:rPr>
                <w:rFonts w:hAnsi="宋体"/>
                <w:bCs/>
                <w:iCs/>
                <w:color w:val="000000"/>
                <w:kern w:val="0"/>
                <w:sz w:val="24"/>
              </w:rPr>
              <w:t>参与单位名称及人员姓名</w:t>
            </w:r>
          </w:p>
        </w:tc>
        <w:tc>
          <w:tcPr>
            <w:tcW w:w="6607" w:type="dxa"/>
            <w:tcBorders>
              <w:top w:val="single" w:color="auto" w:sz="4" w:space="0"/>
              <w:left w:val="single" w:color="auto" w:sz="4" w:space="0"/>
              <w:bottom w:val="single" w:color="auto" w:sz="4" w:space="0"/>
              <w:right w:val="single" w:color="auto" w:sz="4" w:space="0"/>
            </w:tcBorders>
            <w:vAlign w:val="center"/>
          </w:tcPr>
          <w:p w14:paraId="0591B786">
            <w:pPr>
              <w:spacing w:line="420" w:lineRule="exact"/>
              <w:jc w:val="left"/>
              <w:rPr>
                <w:bCs/>
                <w:iCs/>
                <w:color w:val="000000"/>
                <w:sz w:val="24"/>
              </w:rPr>
            </w:pPr>
            <w:r>
              <w:rPr>
                <w:rFonts w:hint="eastAsia"/>
                <w:bCs/>
                <w:iCs/>
                <w:color w:val="000000"/>
                <w:sz w:val="24"/>
              </w:rPr>
              <w:t>线上参与2026年广东辖区投资者集体接待日暨辖区上市公司中报业绩说明会活动的投资者</w:t>
            </w:r>
          </w:p>
        </w:tc>
      </w:tr>
      <w:tr w14:paraId="2F128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3" w:type="dxa"/>
            <w:tcBorders>
              <w:top w:val="single" w:color="auto" w:sz="4" w:space="0"/>
              <w:left w:val="single" w:color="auto" w:sz="4" w:space="0"/>
              <w:bottom w:val="single" w:color="auto" w:sz="4" w:space="0"/>
              <w:right w:val="single" w:color="auto" w:sz="4" w:space="0"/>
            </w:tcBorders>
            <w:vAlign w:val="center"/>
          </w:tcPr>
          <w:p w14:paraId="4E467D30">
            <w:pPr>
              <w:spacing w:line="420" w:lineRule="exact"/>
              <w:rPr>
                <w:bCs/>
                <w:iCs/>
                <w:color w:val="000000"/>
                <w:kern w:val="0"/>
                <w:sz w:val="24"/>
              </w:rPr>
            </w:pPr>
            <w:r>
              <w:rPr>
                <w:rFonts w:hAnsi="宋体"/>
                <w:bCs/>
                <w:iCs/>
                <w:color w:val="000000"/>
                <w:kern w:val="0"/>
                <w:sz w:val="24"/>
              </w:rPr>
              <w:t>时间</w:t>
            </w:r>
          </w:p>
        </w:tc>
        <w:tc>
          <w:tcPr>
            <w:tcW w:w="6607" w:type="dxa"/>
            <w:tcBorders>
              <w:top w:val="single" w:color="auto" w:sz="4" w:space="0"/>
              <w:left w:val="single" w:color="auto" w:sz="4" w:space="0"/>
              <w:bottom w:val="single" w:color="auto" w:sz="4" w:space="0"/>
              <w:right w:val="single" w:color="auto" w:sz="4" w:space="0"/>
            </w:tcBorders>
          </w:tcPr>
          <w:p w14:paraId="013D7DDF">
            <w:pPr>
              <w:spacing w:line="420" w:lineRule="exact"/>
              <w:rPr>
                <w:bCs/>
                <w:iCs/>
                <w:color w:val="000000"/>
                <w:sz w:val="24"/>
              </w:rPr>
            </w:pPr>
            <w:r>
              <w:rPr>
                <w:bCs/>
                <w:iCs/>
                <w:color w:val="000000"/>
                <w:sz w:val="24"/>
              </w:rPr>
              <w:t>202</w:t>
            </w:r>
            <w:r>
              <w:rPr>
                <w:rFonts w:hint="eastAsia"/>
                <w:bCs/>
                <w:iCs/>
                <w:color w:val="000000"/>
                <w:sz w:val="24"/>
              </w:rPr>
              <w:t>6</w:t>
            </w:r>
            <w:r>
              <w:rPr>
                <w:bCs/>
                <w:iCs/>
                <w:color w:val="000000"/>
                <w:sz w:val="24"/>
              </w:rPr>
              <w:t>年</w:t>
            </w:r>
            <w:r>
              <w:rPr>
                <w:rFonts w:hint="eastAsia"/>
                <w:bCs/>
                <w:iCs/>
                <w:color w:val="000000"/>
                <w:sz w:val="24"/>
              </w:rPr>
              <w:t>9</w:t>
            </w:r>
            <w:r>
              <w:rPr>
                <w:bCs/>
                <w:iCs/>
                <w:color w:val="000000"/>
                <w:sz w:val="24"/>
              </w:rPr>
              <w:t>月</w:t>
            </w:r>
            <w:r>
              <w:rPr>
                <w:rFonts w:hint="eastAsia"/>
                <w:bCs/>
                <w:iCs/>
                <w:color w:val="000000"/>
                <w:sz w:val="24"/>
              </w:rPr>
              <w:t>15日15:30-17:00</w:t>
            </w:r>
          </w:p>
        </w:tc>
      </w:tr>
      <w:tr w14:paraId="03CDB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3" w:type="dxa"/>
            <w:tcBorders>
              <w:top w:val="single" w:color="auto" w:sz="4" w:space="0"/>
              <w:left w:val="single" w:color="auto" w:sz="4" w:space="0"/>
              <w:bottom w:val="single" w:color="auto" w:sz="4" w:space="0"/>
              <w:right w:val="single" w:color="auto" w:sz="4" w:space="0"/>
            </w:tcBorders>
            <w:vAlign w:val="center"/>
          </w:tcPr>
          <w:p w14:paraId="751B35A0">
            <w:pPr>
              <w:spacing w:line="420" w:lineRule="exact"/>
              <w:rPr>
                <w:bCs/>
                <w:iCs/>
                <w:color w:val="000000"/>
                <w:kern w:val="0"/>
                <w:sz w:val="24"/>
              </w:rPr>
            </w:pPr>
            <w:r>
              <w:rPr>
                <w:rFonts w:hAnsi="宋体"/>
                <w:bCs/>
                <w:iCs/>
                <w:color w:val="000000"/>
                <w:kern w:val="0"/>
                <w:sz w:val="24"/>
              </w:rPr>
              <w:t>地点</w:t>
            </w:r>
          </w:p>
        </w:tc>
        <w:tc>
          <w:tcPr>
            <w:tcW w:w="6607" w:type="dxa"/>
            <w:tcBorders>
              <w:top w:val="single" w:color="auto" w:sz="4" w:space="0"/>
              <w:left w:val="single" w:color="auto" w:sz="4" w:space="0"/>
              <w:bottom w:val="single" w:color="auto" w:sz="4" w:space="0"/>
              <w:right w:val="single" w:color="auto" w:sz="4" w:space="0"/>
            </w:tcBorders>
          </w:tcPr>
          <w:p w14:paraId="2FE51E72">
            <w:pPr>
              <w:spacing w:line="420" w:lineRule="exact"/>
              <w:jc w:val="left"/>
              <w:rPr>
                <w:bCs/>
                <w:iCs/>
                <w:color w:val="000000"/>
                <w:sz w:val="24"/>
              </w:rPr>
            </w:pPr>
            <w:r>
              <w:rPr>
                <w:rFonts w:hint="eastAsia"/>
                <w:bCs/>
                <w:iCs/>
                <w:color w:val="000000"/>
                <w:sz w:val="24"/>
              </w:rPr>
              <w:t>全景网“投资者关系互动平台”</w:t>
            </w:r>
          </w:p>
        </w:tc>
      </w:tr>
      <w:tr w14:paraId="304A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3" w:type="dxa"/>
            <w:tcBorders>
              <w:top w:val="single" w:color="auto" w:sz="4" w:space="0"/>
              <w:left w:val="single" w:color="auto" w:sz="4" w:space="0"/>
              <w:bottom w:val="single" w:color="auto" w:sz="4" w:space="0"/>
              <w:right w:val="single" w:color="auto" w:sz="4" w:space="0"/>
            </w:tcBorders>
            <w:vAlign w:val="center"/>
          </w:tcPr>
          <w:p w14:paraId="064220EA">
            <w:pPr>
              <w:spacing w:line="420" w:lineRule="exact"/>
              <w:rPr>
                <w:bCs/>
                <w:iCs/>
                <w:color w:val="000000"/>
                <w:kern w:val="0"/>
                <w:sz w:val="24"/>
              </w:rPr>
            </w:pPr>
            <w:r>
              <w:rPr>
                <w:rFonts w:hAnsi="宋体"/>
                <w:bCs/>
                <w:iCs/>
                <w:color w:val="000000"/>
                <w:kern w:val="0"/>
                <w:sz w:val="24"/>
              </w:rPr>
              <w:t>上市公司接待人员姓名</w:t>
            </w:r>
          </w:p>
        </w:tc>
        <w:tc>
          <w:tcPr>
            <w:tcW w:w="6607" w:type="dxa"/>
            <w:tcBorders>
              <w:top w:val="single" w:color="auto" w:sz="4" w:space="0"/>
              <w:left w:val="single" w:color="auto" w:sz="4" w:space="0"/>
              <w:bottom w:val="single" w:color="auto" w:sz="4" w:space="0"/>
              <w:right w:val="single" w:color="auto" w:sz="4" w:space="0"/>
            </w:tcBorders>
            <w:vAlign w:val="center"/>
          </w:tcPr>
          <w:p w14:paraId="31F57305">
            <w:pPr>
              <w:spacing w:line="420" w:lineRule="exact"/>
              <w:jc w:val="left"/>
              <w:rPr>
                <w:bCs/>
                <w:iCs/>
                <w:color w:val="000000"/>
                <w:sz w:val="24"/>
              </w:rPr>
            </w:pPr>
            <w:r>
              <w:rPr>
                <w:rFonts w:hint="eastAsia"/>
                <w:bCs/>
                <w:iCs/>
                <w:color w:val="000000"/>
                <w:sz w:val="24"/>
              </w:rPr>
              <w:t>董事长、总裁李向东先生，独立董事何美云女士，副总裁、董事会秘书黄一桓先生，财务负责人高升业先生</w:t>
            </w:r>
          </w:p>
        </w:tc>
      </w:tr>
      <w:tr w14:paraId="09E3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3" w:type="dxa"/>
            <w:tcBorders>
              <w:top w:val="single" w:color="auto" w:sz="4" w:space="0"/>
              <w:left w:val="single" w:color="auto" w:sz="4" w:space="0"/>
              <w:bottom w:val="single" w:color="auto" w:sz="4" w:space="0"/>
              <w:right w:val="single" w:color="auto" w:sz="4" w:space="0"/>
            </w:tcBorders>
            <w:vAlign w:val="center"/>
          </w:tcPr>
          <w:p w14:paraId="30903D06">
            <w:pPr>
              <w:spacing w:line="420" w:lineRule="exact"/>
              <w:rPr>
                <w:bCs/>
                <w:iCs/>
                <w:color w:val="000000"/>
                <w:sz w:val="24"/>
              </w:rPr>
            </w:pPr>
            <w:r>
              <w:rPr>
                <w:rFonts w:hAnsi="宋体"/>
                <w:bCs/>
                <w:iCs/>
                <w:color w:val="000000"/>
                <w:kern w:val="0"/>
                <w:sz w:val="24"/>
              </w:rPr>
              <w:t>投资者关系活动主要内容介绍</w:t>
            </w:r>
          </w:p>
        </w:tc>
        <w:tc>
          <w:tcPr>
            <w:tcW w:w="6607" w:type="dxa"/>
            <w:tcBorders>
              <w:top w:val="single" w:color="auto" w:sz="4" w:space="0"/>
              <w:left w:val="single" w:color="auto" w:sz="4" w:space="0"/>
              <w:bottom w:val="single" w:color="auto" w:sz="4" w:space="0"/>
              <w:right w:val="single" w:color="auto" w:sz="4" w:space="0"/>
            </w:tcBorders>
          </w:tcPr>
          <w:p w14:paraId="2881D95C">
            <w:pPr>
              <w:adjustRightInd w:val="0"/>
              <w:snapToGrid w:val="0"/>
              <w:spacing w:line="360" w:lineRule="auto"/>
              <w:rPr>
                <w:sz w:val="24"/>
              </w:rPr>
            </w:pPr>
            <w:r>
              <w:rPr>
                <w:rFonts w:hint="eastAsia"/>
                <w:sz w:val="24"/>
              </w:rPr>
              <w:t>1、面临净资产逼近负值，公司有何具体扎实的措施？对于置入49%珠海免税股权是否有紧迫感？</w:t>
            </w:r>
          </w:p>
          <w:p w14:paraId="187C7185">
            <w:pPr>
              <w:adjustRightInd w:val="0"/>
              <w:snapToGrid w:val="0"/>
              <w:spacing w:line="360" w:lineRule="auto"/>
              <w:rPr>
                <w:sz w:val="24"/>
              </w:rPr>
            </w:pPr>
            <w:r>
              <w:rPr>
                <w:rFonts w:hint="eastAsia"/>
                <w:sz w:val="24"/>
              </w:rPr>
              <w:t>答：尊敬的投资者，您好！针对归母净资产规模较小的情况，公司已积极采取多种措施改善经营情况，提升盈利能力，努力增厚归母净资产规模，切实维护全体股东的利益。对于珠海免税剩余49%股权，公司将根据战略规划统筹研究和考虑。敬请广大投资者注意投资风险。感谢您的关注！</w:t>
            </w:r>
            <w:r>
              <w:rPr>
                <w:rFonts w:hint="eastAsia"/>
                <w:sz w:val="24"/>
              </w:rPr>
              <w:br w:type="textWrapping"/>
            </w:r>
          </w:p>
          <w:p w14:paraId="791BBFA6">
            <w:pPr>
              <w:adjustRightInd w:val="0"/>
              <w:snapToGrid w:val="0"/>
              <w:spacing w:line="360" w:lineRule="auto"/>
              <w:rPr>
                <w:sz w:val="24"/>
              </w:rPr>
            </w:pPr>
            <w:r>
              <w:rPr>
                <w:rFonts w:hint="eastAsia"/>
                <w:sz w:val="24"/>
              </w:rPr>
              <w:t>2、李董事长一上任就在二级市场以6.35元买了珠免集团1万股，已是亏了很多，是否有增持的打算，以摊低成本？</w:t>
            </w:r>
          </w:p>
          <w:p w14:paraId="38943652">
            <w:pPr>
              <w:adjustRightInd w:val="0"/>
              <w:snapToGrid w:val="0"/>
              <w:spacing w:line="360" w:lineRule="auto"/>
              <w:rPr>
                <w:sz w:val="24"/>
              </w:rPr>
            </w:pPr>
            <w:r>
              <w:rPr>
                <w:rFonts w:hint="eastAsia"/>
                <w:sz w:val="24"/>
              </w:rPr>
              <w:t>答：尊敬的投资者，您好！公司董事长持股情况已按规定履行信息披露义务。感谢您的关注！</w:t>
            </w:r>
            <w:r>
              <w:rPr>
                <w:rFonts w:hint="eastAsia"/>
                <w:sz w:val="24"/>
              </w:rPr>
              <w:br w:type="textWrapping"/>
            </w:r>
          </w:p>
          <w:p w14:paraId="28F4BABD">
            <w:pPr>
              <w:adjustRightInd w:val="0"/>
              <w:snapToGrid w:val="0"/>
              <w:spacing w:line="360" w:lineRule="auto"/>
              <w:rPr>
                <w:sz w:val="24"/>
              </w:rPr>
            </w:pPr>
            <w:r>
              <w:rPr>
                <w:rFonts w:hint="eastAsia"/>
                <w:sz w:val="24"/>
              </w:rPr>
              <w:t>3、珠免大股东不断变化是出于什么考虑？</w:t>
            </w:r>
          </w:p>
          <w:p w14:paraId="4FAC9B0F">
            <w:pPr>
              <w:adjustRightInd w:val="0"/>
              <w:snapToGrid w:val="0"/>
              <w:spacing w:line="360" w:lineRule="auto"/>
              <w:rPr>
                <w:sz w:val="24"/>
              </w:rPr>
            </w:pPr>
            <w:r>
              <w:rPr>
                <w:rFonts w:hint="eastAsia"/>
                <w:sz w:val="24"/>
              </w:rPr>
              <w:t>答：尊敬的投资者，您好！本次公司间接控股股东变更，是为加快落实市委、市政府关于市属国有资本优化布局和国有企业改革工作部署，不会导致公司直接控股股东和实控人发生变化。感谢您的关注！</w:t>
            </w:r>
          </w:p>
          <w:p w14:paraId="2BC56358">
            <w:pPr>
              <w:adjustRightInd w:val="0"/>
              <w:snapToGrid w:val="0"/>
              <w:spacing w:line="360" w:lineRule="auto"/>
              <w:rPr>
                <w:sz w:val="24"/>
              </w:rPr>
            </w:pPr>
          </w:p>
          <w:p w14:paraId="4E80F917">
            <w:pPr>
              <w:adjustRightInd w:val="0"/>
              <w:snapToGrid w:val="0"/>
              <w:spacing w:line="360" w:lineRule="auto"/>
              <w:rPr>
                <w:sz w:val="24"/>
              </w:rPr>
            </w:pPr>
            <w:r>
              <w:rPr>
                <w:rFonts w:hint="eastAsia"/>
                <w:sz w:val="24"/>
              </w:rPr>
              <w:t>4、格力集团收购珠海免税23%股权，公司优先购买权能得到保障吗？</w:t>
            </w:r>
          </w:p>
          <w:p w14:paraId="44E0C431">
            <w:pPr>
              <w:adjustRightInd w:val="0"/>
              <w:snapToGrid w:val="0"/>
              <w:spacing w:line="360" w:lineRule="auto"/>
              <w:rPr>
                <w:sz w:val="24"/>
              </w:rPr>
            </w:pPr>
            <w:r>
              <w:rPr>
                <w:rFonts w:hint="eastAsia"/>
                <w:sz w:val="24"/>
              </w:rPr>
              <w:t>答：尊敬的投资者，您好！华发集团与格力集团的股权转让事项处在推进过程中，公司将持续关注上述事项的进展情况，涉及珠海免税少数股权优先购买权等事宜，公司将严格按照相关法律法规的规定妥善处理，并及时履行相关审议程序和信息披露义务，切实维护公司及全体股东的合法权益。敬请广大投资者注意投资风险。感谢您的关注！</w:t>
            </w:r>
            <w:r>
              <w:rPr>
                <w:rFonts w:hint="eastAsia"/>
                <w:sz w:val="24"/>
              </w:rPr>
              <w:br w:type="textWrapping"/>
            </w:r>
          </w:p>
          <w:p w14:paraId="7DD367A9">
            <w:pPr>
              <w:adjustRightInd w:val="0"/>
              <w:snapToGrid w:val="0"/>
              <w:spacing w:line="360" w:lineRule="auto"/>
              <w:rPr>
                <w:sz w:val="24"/>
              </w:rPr>
            </w:pPr>
            <w:r>
              <w:rPr>
                <w:rFonts w:hint="eastAsia"/>
                <w:sz w:val="24"/>
              </w:rPr>
              <w:t>5、尊敬的独立董事，公司上半年归母净利润虽扭亏，但扣非净利润等核心盈利指标仍显薄弱，且存在证券投资亏损情况。请问审计委员会在审议半年报时，是否充分评估了免税主业真实盈利的可持续性？作为中小股东利益的监督者，独董将如何督促管理层在推进全国布局与海南战略的高投入期，建立更严谨的投资决策机制与股东回报规划？</w:t>
            </w:r>
          </w:p>
          <w:p w14:paraId="323CB2C2">
            <w:pPr>
              <w:adjustRightInd w:val="0"/>
              <w:snapToGrid w:val="0"/>
              <w:spacing w:line="360" w:lineRule="auto"/>
              <w:rPr>
                <w:sz w:val="24"/>
              </w:rPr>
            </w:pPr>
            <w:r>
              <w:rPr>
                <w:rFonts w:hint="eastAsia"/>
                <w:sz w:val="24"/>
              </w:rPr>
              <w:t>答：尊敬的投资者，您好！2026年上半年，公司归母净利润为3,487.07万元，上年同期为-2.74亿元，同比实现扭亏为盈，且免税主业毛利率保持在46%以上，盈利质量稳步提升。公司持有的交通银行股权为下属子公司珠海免税历史形成的存量股权投资。对于该部分股权投资，公司会持续评估持有价值，审慎做好资产管理。独立董事通过董事会、专门委员会、独董专门会议、现场履职等方式，深入了解公司重大决策并就相关事项发表独立意见。公司管理层正全力以赴推动经营改善，力争稳步提升盈利能力，为后续恢复分红创造条件。若有具体计划，公司将严格按照信息披露规则及时公告。感谢您的关注！</w:t>
            </w:r>
            <w:r>
              <w:rPr>
                <w:rFonts w:hint="eastAsia"/>
                <w:sz w:val="24"/>
              </w:rPr>
              <w:br w:type="textWrapping"/>
            </w:r>
          </w:p>
          <w:p w14:paraId="5DA299C3">
            <w:pPr>
              <w:adjustRightInd w:val="0"/>
              <w:snapToGrid w:val="0"/>
              <w:spacing w:line="360" w:lineRule="auto"/>
              <w:rPr>
                <w:sz w:val="24"/>
              </w:rPr>
            </w:pPr>
            <w:r>
              <w:rPr>
                <w:rFonts w:hint="eastAsia"/>
                <w:sz w:val="24"/>
              </w:rPr>
              <w:t>6、董秘您好，半年报显示公司市净率高达99.78倍，且每股未分配利润为-0.9864元。请问管理层如何看待当前市值与基本面之间的背离？此外，公司去年出售地产业务形成的巨额应收款年底即将到期，这笔资金的回笼计划及后续用途（如偿还负债或收购免税股权）能否向中小股东做更透明的前瞻性指引？</w:t>
            </w:r>
          </w:p>
          <w:p w14:paraId="41F1AD26">
            <w:pPr>
              <w:adjustRightInd w:val="0"/>
              <w:snapToGrid w:val="0"/>
              <w:spacing w:line="360" w:lineRule="auto"/>
              <w:rPr>
                <w:sz w:val="24"/>
              </w:rPr>
            </w:pPr>
            <w:r>
              <w:rPr>
                <w:rFonts w:hint="eastAsia"/>
                <w:sz w:val="24"/>
              </w:rPr>
              <w:t>答：尊敬的投资者，您好！上市公司的股价波动受到宏观经济、市场情绪、行业政策等多重因素影响，具有不确定性。目前公司已完成去地产化，聚焦免税主业，全面升级免税场景、优化商品结构、推进数智赋能，同时优化债务结构，夯实经营根基。持续提升主业经营质量和盈利能力，以扎实的基本面支撑公司长期价值。公司重大资产出售事宜首期款项已全额到账，剩余款项按《重大资产出售协议》约定分期收回。未来资金使用将综合考虑公司整体运营保障、业务发展需求等因素统筹规划。感谢您的关注！</w:t>
            </w:r>
            <w:r>
              <w:rPr>
                <w:rFonts w:hint="eastAsia"/>
                <w:sz w:val="24"/>
              </w:rPr>
              <w:br w:type="textWrapping"/>
            </w:r>
          </w:p>
          <w:p w14:paraId="6F8C6670">
            <w:pPr>
              <w:adjustRightInd w:val="0"/>
              <w:snapToGrid w:val="0"/>
              <w:spacing w:line="360" w:lineRule="auto"/>
              <w:rPr>
                <w:sz w:val="24"/>
              </w:rPr>
            </w:pPr>
            <w:r>
              <w:rPr>
                <w:rFonts w:hint="eastAsia"/>
                <w:sz w:val="24"/>
              </w:rPr>
              <w:t>7、财务总监您好，上半年公司财务费用大幅改善，由去年同期2.11亿元支出转为3145万元净收益。请问这一改善主要得益于债务结构优化还是汇兑收益？同时，公司中报披露了交通银行的证券投资亏损，在净资产承压且资产负债率高达82.13的情况下，公司未来如何强化资金管控，确保资金优先用于降负债与免税主业发展？</w:t>
            </w:r>
          </w:p>
          <w:p w14:paraId="7842DC82">
            <w:pPr>
              <w:adjustRightInd w:val="0"/>
              <w:snapToGrid w:val="0"/>
              <w:spacing w:line="360" w:lineRule="auto"/>
              <w:rPr>
                <w:sz w:val="24"/>
              </w:rPr>
            </w:pPr>
            <w:r>
              <w:rPr>
                <w:rFonts w:hint="eastAsia"/>
                <w:sz w:val="24"/>
              </w:rPr>
              <w:t>答：尊敬的投资者，您好！2026年上半年公司财务费用实现净收益，主要系本期利息支出减少及汇兑收益增加所致。公司持有的交通银行股权为下属子公司珠海免税历史形成的存量股权投资。对于该部分股权投资，公司会持续评估持有价值，审慎做好资产管理。感谢您对公司的关注！</w:t>
            </w:r>
            <w:r>
              <w:rPr>
                <w:rFonts w:hint="eastAsia"/>
                <w:sz w:val="24"/>
              </w:rPr>
              <w:br w:type="textWrapping"/>
            </w:r>
          </w:p>
          <w:p w14:paraId="381250F4">
            <w:pPr>
              <w:adjustRightInd w:val="0"/>
              <w:snapToGrid w:val="0"/>
              <w:spacing w:line="360" w:lineRule="auto"/>
              <w:rPr>
                <w:sz w:val="24"/>
              </w:rPr>
            </w:pPr>
            <w:r>
              <w:rPr>
                <w:rFonts w:hint="eastAsia"/>
                <w:sz w:val="24"/>
              </w:rPr>
              <w:t>8、董事长您好，半年报显示公司归母净利润扭亏为盈至3487万元，但营收同比下滑29.26%。在“去地产化”后的首个完整半年报中，公司如何平衡免税主业的“全国网络扩张（新增11家门店）”与“存量提质”？在海南离岛免税牌照仍处于综合评估阶段的背景下，公司有何实质性举措来加速兑现政策红利，以提振中小股东信心？</w:t>
            </w:r>
          </w:p>
          <w:p w14:paraId="31B85F82">
            <w:pPr>
              <w:adjustRightInd w:val="0"/>
              <w:snapToGrid w:val="0"/>
              <w:spacing w:line="360" w:lineRule="auto"/>
              <w:rPr>
                <w:sz w:val="24"/>
              </w:rPr>
            </w:pPr>
            <w:r>
              <w:rPr>
                <w:rFonts w:hint="eastAsia"/>
                <w:sz w:val="24"/>
              </w:rPr>
              <w:t>答：尊敬的投资者，您好！目前公司正积极推进各新店的装修、人员招聘、商品备货等开业筹备工作，将根据各口岸的实际情况分批开业。公司通过深化品类改革、动态优化品类SKU结构、精准匹配口岸客流消费需求，有效提升商品力与单客消费价值；持续推进门店提效，引入可视化空间管理系统，以数字化手段赋能门店精细化运营，多维度提升现有门店的经营效率，推动新店尽快实现销售增量。感谢您的关注！</w:t>
            </w:r>
            <w:r>
              <w:rPr>
                <w:rFonts w:hint="eastAsia"/>
                <w:sz w:val="24"/>
              </w:rPr>
              <w:br w:type="textWrapping"/>
            </w:r>
          </w:p>
          <w:p w14:paraId="0934C0EB">
            <w:pPr>
              <w:adjustRightInd w:val="0"/>
              <w:snapToGrid w:val="0"/>
              <w:spacing w:line="360" w:lineRule="auto"/>
              <w:rPr>
                <w:sz w:val="24"/>
              </w:rPr>
            </w:pPr>
            <w:r>
              <w:rPr>
                <w:rFonts w:hint="eastAsia"/>
                <w:sz w:val="24"/>
              </w:rPr>
              <w:t>9、格力集团要收购免税23%股权，公司优先购买权怎么保障？</w:t>
            </w:r>
          </w:p>
          <w:p w14:paraId="47D99DCF">
            <w:pPr>
              <w:adjustRightInd w:val="0"/>
              <w:snapToGrid w:val="0"/>
              <w:spacing w:line="360" w:lineRule="auto"/>
              <w:rPr>
                <w:sz w:val="24"/>
              </w:rPr>
            </w:pPr>
            <w:r>
              <w:rPr>
                <w:rFonts w:hint="eastAsia"/>
                <w:sz w:val="24"/>
              </w:rPr>
              <w:t>答：尊敬的投资者，您好！华发集团与格力集团的股权转让事项处在推进过程中，公司将持续关注上述事项的进展情况，涉及珠海免税少数股权优先购买权等事宜，公司将严格按照相关法律法规的规定妥善处理，并及时履行相关审议程序和信息披露义务，切实维护公司及全体股东的合法权益。敬请广大投资者注意投资风险。感谢您的关注！</w:t>
            </w:r>
            <w:r>
              <w:rPr>
                <w:rFonts w:hint="eastAsia"/>
                <w:sz w:val="24"/>
              </w:rPr>
              <w:br w:type="textWrapping"/>
            </w:r>
          </w:p>
          <w:p w14:paraId="0287EF03">
            <w:pPr>
              <w:adjustRightInd w:val="0"/>
              <w:snapToGrid w:val="0"/>
              <w:spacing w:line="360" w:lineRule="auto"/>
              <w:rPr>
                <w:sz w:val="24"/>
              </w:rPr>
            </w:pPr>
            <w:r>
              <w:rPr>
                <w:rFonts w:hint="eastAsia"/>
                <w:sz w:val="24"/>
              </w:rPr>
              <w:t>10、房地产资产已经清理完成了吗？</w:t>
            </w:r>
          </w:p>
          <w:p w14:paraId="33E8ED47">
            <w:pPr>
              <w:adjustRightInd w:val="0"/>
              <w:snapToGrid w:val="0"/>
              <w:spacing w:line="360" w:lineRule="auto"/>
              <w:rPr>
                <w:sz w:val="24"/>
                <w:lang w:bidi="ar"/>
              </w:rPr>
            </w:pPr>
            <w:r>
              <w:rPr>
                <w:rFonts w:hint="eastAsia"/>
                <w:sz w:val="24"/>
              </w:rPr>
              <w:t>答：尊敬的投资者，您好！2025年末，公司完成格力房产100%股权的重大资产出售，实现存量房地产业务剥离。目前，公司聚焦免税核心主业发展，全面升级免税场景、优化商品结构、推进数智赋能，同时优化债务结构，夯实经营根基。感谢您的关注！</w:t>
            </w:r>
          </w:p>
        </w:tc>
      </w:tr>
      <w:tr w14:paraId="4FF86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3" w:type="dxa"/>
            <w:tcBorders>
              <w:top w:val="single" w:color="auto" w:sz="4" w:space="0"/>
              <w:left w:val="single" w:color="auto" w:sz="4" w:space="0"/>
              <w:bottom w:val="single" w:color="auto" w:sz="4" w:space="0"/>
              <w:right w:val="single" w:color="auto" w:sz="4" w:space="0"/>
            </w:tcBorders>
            <w:vAlign w:val="center"/>
          </w:tcPr>
          <w:p w14:paraId="7B13CDA7">
            <w:pPr>
              <w:spacing w:line="420" w:lineRule="exact"/>
              <w:rPr>
                <w:rFonts w:hint="eastAsia" w:hAnsi="宋体"/>
                <w:bCs/>
                <w:iCs/>
                <w:color w:val="000000"/>
                <w:kern w:val="0"/>
                <w:sz w:val="24"/>
              </w:rPr>
            </w:pPr>
            <w:r>
              <w:rPr>
                <w:rFonts w:hint="eastAsia" w:hAnsi="宋体"/>
                <w:bCs/>
                <w:iCs/>
                <w:color w:val="000000"/>
                <w:kern w:val="0"/>
                <w:sz w:val="24"/>
              </w:rPr>
              <w:t>是否涉及应当披露重大信息</w:t>
            </w:r>
          </w:p>
        </w:tc>
        <w:tc>
          <w:tcPr>
            <w:tcW w:w="6607" w:type="dxa"/>
            <w:tcBorders>
              <w:top w:val="single" w:color="auto" w:sz="4" w:space="0"/>
              <w:left w:val="single" w:color="auto" w:sz="4" w:space="0"/>
              <w:bottom w:val="single" w:color="auto" w:sz="4" w:space="0"/>
              <w:right w:val="single" w:color="auto" w:sz="4" w:space="0"/>
            </w:tcBorders>
            <w:vAlign w:val="center"/>
          </w:tcPr>
          <w:p w14:paraId="41C57A7A">
            <w:pPr>
              <w:spacing w:line="420" w:lineRule="exact"/>
              <w:rPr>
                <w:bCs/>
                <w:iCs/>
                <w:color w:val="000000"/>
                <w:sz w:val="24"/>
              </w:rPr>
            </w:pPr>
            <w:r>
              <w:rPr>
                <w:rFonts w:hint="eastAsia"/>
                <w:bCs/>
                <w:iCs/>
                <w:color w:val="000000"/>
                <w:sz w:val="24"/>
              </w:rPr>
              <w:t>否</w:t>
            </w:r>
          </w:p>
        </w:tc>
      </w:tr>
      <w:tr w14:paraId="4274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3" w:type="dxa"/>
            <w:tcBorders>
              <w:top w:val="single" w:color="auto" w:sz="4" w:space="0"/>
              <w:left w:val="single" w:color="auto" w:sz="4" w:space="0"/>
              <w:bottom w:val="single" w:color="auto" w:sz="4" w:space="0"/>
              <w:right w:val="single" w:color="auto" w:sz="4" w:space="0"/>
            </w:tcBorders>
            <w:vAlign w:val="center"/>
          </w:tcPr>
          <w:p w14:paraId="07E3ADB6">
            <w:pPr>
              <w:spacing w:line="420" w:lineRule="exact"/>
              <w:rPr>
                <w:bCs/>
                <w:iCs/>
                <w:color w:val="000000"/>
                <w:kern w:val="0"/>
                <w:sz w:val="24"/>
              </w:rPr>
            </w:pPr>
            <w:r>
              <w:rPr>
                <w:rFonts w:hAnsi="宋体"/>
                <w:bCs/>
                <w:iCs/>
                <w:color w:val="000000"/>
                <w:kern w:val="0"/>
                <w:sz w:val="24"/>
              </w:rPr>
              <w:t>附件清单</w:t>
            </w:r>
            <w:r>
              <w:rPr>
                <w:rFonts w:hAnsi="宋体"/>
                <w:bCs/>
                <w:iCs/>
                <w:color w:val="000000"/>
                <w:kern w:val="0"/>
                <w:sz w:val="24"/>
              </w:rPr>
              <w:br w:type="textWrapping"/>
            </w:r>
            <w:r>
              <w:rPr>
                <w:rFonts w:hAnsi="宋体"/>
                <w:bCs/>
                <w:iCs/>
                <w:color w:val="000000"/>
                <w:kern w:val="0"/>
                <w:sz w:val="24"/>
              </w:rPr>
              <w:t>（如有）</w:t>
            </w:r>
          </w:p>
        </w:tc>
        <w:tc>
          <w:tcPr>
            <w:tcW w:w="6607" w:type="dxa"/>
            <w:tcBorders>
              <w:top w:val="single" w:color="auto" w:sz="4" w:space="0"/>
              <w:left w:val="single" w:color="auto" w:sz="4" w:space="0"/>
              <w:bottom w:val="single" w:color="auto" w:sz="4" w:space="0"/>
              <w:right w:val="single" w:color="auto" w:sz="4" w:space="0"/>
            </w:tcBorders>
            <w:vAlign w:val="center"/>
          </w:tcPr>
          <w:p w14:paraId="448BCE3F">
            <w:pPr>
              <w:spacing w:line="420" w:lineRule="exact"/>
              <w:rPr>
                <w:bCs/>
                <w:iCs/>
                <w:color w:val="000000"/>
                <w:sz w:val="24"/>
              </w:rPr>
            </w:pPr>
            <w:r>
              <w:rPr>
                <w:rFonts w:hint="eastAsia"/>
                <w:bCs/>
                <w:iCs/>
                <w:color w:val="000000"/>
                <w:sz w:val="24"/>
              </w:rPr>
              <w:t>无</w:t>
            </w:r>
          </w:p>
        </w:tc>
      </w:tr>
      <w:tr w14:paraId="36C59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3" w:type="dxa"/>
            <w:tcBorders>
              <w:top w:val="single" w:color="auto" w:sz="4" w:space="0"/>
              <w:left w:val="single" w:color="auto" w:sz="4" w:space="0"/>
              <w:bottom w:val="single" w:color="auto" w:sz="4" w:space="0"/>
              <w:right w:val="single" w:color="auto" w:sz="4" w:space="0"/>
            </w:tcBorders>
            <w:vAlign w:val="center"/>
          </w:tcPr>
          <w:p w14:paraId="7D8B208E">
            <w:pPr>
              <w:spacing w:line="420" w:lineRule="exact"/>
              <w:rPr>
                <w:bCs/>
                <w:iCs/>
                <w:color w:val="000000"/>
                <w:kern w:val="0"/>
                <w:sz w:val="24"/>
              </w:rPr>
            </w:pPr>
            <w:r>
              <w:rPr>
                <w:rFonts w:hAnsi="宋体"/>
                <w:bCs/>
                <w:iCs/>
                <w:color w:val="000000"/>
                <w:kern w:val="0"/>
                <w:sz w:val="24"/>
              </w:rPr>
              <w:t>日期</w:t>
            </w:r>
          </w:p>
        </w:tc>
        <w:tc>
          <w:tcPr>
            <w:tcW w:w="6607" w:type="dxa"/>
            <w:tcBorders>
              <w:top w:val="single" w:color="auto" w:sz="4" w:space="0"/>
              <w:left w:val="single" w:color="auto" w:sz="4" w:space="0"/>
              <w:bottom w:val="single" w:color="auto" w:sz="4" w:space="0"/>
              <w:right w:val="single" w:color="auto" w:sz="4" w:space="0"/>
            </w:tcBorders>
          </w:tcPr>
          <w:p w14:paraId="5D6CECCF">
            <w:pPr>
              <w:spacing w:line="420" w:lineRule="exact"/>
              <w:rPr>
                <w:bCs/>
                <w:iCs/>
                <w:color w:val="000000"/>
                <w:sz w:val="24"/>
              </w:rPr>
            </w:pPr>
            <w:r>
              <w:rPr>
                <w:bCs/>
                <w:iCs/>
                <w:color w:val="000000"/>
                <w:sz w:val="24"/>
              </w:rPr>
              <w:t>202</w:t>
            </w:r>
            <w:r>
              <w:rPr>
                <w:rFonts w:hint="eastAsia"/>
                <w:bCs/>
                <w:iCs/>
                <w:color w:val="000000"/>
                <w:sz w:val="24"/>
              </w:rPr>
              <w:t>6年9月15日</w:t>
            </w:r>
          </w:p>
        </w:tc>
      </w:tr>
    </w:tbl>
    <w:p w14:paraId="55A022E4"/>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40214">
    <w:pPr>
      <w:pStyle w:val="4"/>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D2706">
    <w:pPr>
      <w:pStyle w:val="5"/>
      <w:pBdr>
        <w:bottom w:val="single" w:color="auto" w:sz="4" w:space="0"/>
      </w:pBdr>
      <w:jc w:val="left"/>
    </w:pPr>
    <w:r>
      <w:rPr>
        <w:rFonts w:hint="eastAsia"/>
      </w:rPr>
      <w:drawing>
        <wp:anchor distT="0" distB="0" distL="114300" distR="114300" simplePos="0" relativeHeight="251659264" behindDoc="0" locked="0" layoutInCell="1" allowOverlap="1">
          <wp:simplePos x="0" y="0"/>
          <wp:positionH relativeFrom="column">
            <wp:posOffset>14605</wp:posOffset>
          </wp:positionH>
          <wp:positionV relativeFrom="paragraph">
            <wp:posOffset>-197485</wp:posOffset>
          </wp:positionV>
          <wp:extent cx="1196340" cy="325755"/>
          <wp:effectExtent l="0" t="0" r="0" b="17145"/>
          <wp:wrapNone/>
          <wp:docPr id="3" name="图片 2069441879" descr="6014f5e0941f35b1e8572e3527c5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069441879" descr="6014f5e0941f35b1e8572e3527c5117"/>
                  <pic:cNvPicPr>
                    <a:picLocks noChangeAspect="1"/>
                  </pic:cNvPicPr>
                </pic:nvPicPr>
                <pic:blipFill>
                  <a:blip r:embed="rId1"/>
                  <a:srcRect l="6081" t="30446" r="3368" b="28036"/>
                  <a:stretch>
                    <a:fillRect/>
                  </a:stretch>
                </pic:blipFill>
                <pic:spPr>
                  <a:xfrm>
                    <a:off x="0" y="0"/>
                    <a:ext cx="1196340" cy="32575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1C7"/>
    <w:rsid w:val="000008C2"/>
    <w:rsid w:val="000268C0"/>
    <w:rsid w:val="000363B5"/>
    <w:rsid w:val="000375D7"/>
    <w:rsid w:val="00043015"/>
    <w:rsid w:val="00046DDE"/>
    <w:rsid w:val="00047EB9"/>
    <w:rsid w:val="0005072C"/>
    <w:rsid w:val="00060A74"/>
    <w:rsid w:val="00065F93"/>
    <w:rsid w:val="00067110"/>
    <w:rsid w:val="00087D45"/>
    <w:rsid w:val="0009298A"/>
    <w:rsid w:val="000A2808"/>
    <w:rsid w:val="000A3BAC"/>
    <w:rsid w:val="000C0980"/>
    <w:rsid w:val="000C0F1B"/>
    <w:rsid w:val="000C26FD"/>
    <w:rsid w:val="000C2D85"/>
    <w:rsid w:val="000E5700"/>
    <w:rsid w:val="000F0C4B"/>
    <w:rsid w:val="000F0E22"/>
    <w:rsid w:val="00102023"/>
    <w:rsid w:val="00105A04"/>
    <w:rsid w:val="001139BC"/>
    <w:rsid w:val="001169A9"/>
    <w:rsid w:val="00125EB2"/>
    <w:rsid w:val="00142A4C"/>
    <w:rsid w:val="00142CCE"/>
    <w:rsid w:val="00144279"/>
    <w:rsid w:val="001452FF"/>
    <w:rsid w:val="0016617A"/>
    <w:rsid w:val="00167E99"/>
    <w:rsid w:val="001975AB"/>
    <w:rsid w:val="001A00F5"/>
    <w:rsid w:val="001A1F65"/>
    <w:rsid w:val="001A5CE9"/>
    <w:rsid w:val="001C50AD"/>
    <w:rsid w:val="001D22EE"/>
    <w:rsid w:val="001D3DB8"/>
    <w:rsid w:val="001D4C89"/>
    <w:rsid w:val="001D749D"/>
    <w:rsid w:val="001D7A2A"/>
    <w:rsid w:val="001E1838"/>
    <w:rsid w:val="001E3145"/>
    <w:rsid w:val="001E5685"/>
    <w:rsid w:val="001E6509"/>
    <w:rsid w:val="001E7968"/>
    <w:rsid w:val="0022180A"/>
    <w:rsid w:val="00223ABC"/>
    <w:rsid w:val="002241B9"/>
    <w:rsid w:val="002274D9"/>
    <w:rsid w:val="0023455A"/>
    <w:rsid w:val="00237994"/>
    <w:rsid w:val="00251D58"/>
    <w:rsid w:val="002530EE"/>
    <w:rsid w:val="002549E6"/>
    <w:rsid w:val="00256602"/>
    <w:rsid w:val="00256621"/>
    <w:rsid w:val="00271C8D"/>
    <w:rsid w:val="00273B53"/>
    <w:rsid w:val="0028080C"/>
    <w:rsid w:val="00295257"/>
    <w:rsid w:val="00297703"/>
    <w:rsid w:val="002A0826"/>
    <w:rsid w:val="002A0984"/>
    <w:rsid w:val="002A589B"/>
    <w:rsid w:val="002B1184"/>
    <w:rsid w:val="002B365D"/>
    <w:rsid w:val="002B71B8"/>
    <w:rsid w:val="002B7469"/>
    <w:rsid w:val="002C22C6"/>
    <w:rsid w:val="002C6568"/>
    <w:rsid w:val="002C723B"/>
    <w:rsid w:val="002D39BC"/>
    <w:rsid w:val="002E1B15"/>
    <w:rsid w:val="002E1D3A"/>
    <w:rsid w:val="003005F0"/>
    <w:rsid w:val="003030BF"/>
    <w:rsid w:val="00304F89"/>
    <w:rsid w:val="00306023"/>
    <w:rsid w:val="00327D5D"/>
    <w:rsid w:val="0033570C"/>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1AE2"/>
    <w:rsid w:val="003F7C4D"/>
    <w:rsid w:val="0040075F"/>
    <w:rsid w:val="00403300"/>
    <w:rsid w:val="004118C0"/>
    <w:rsid w:val="00417A31"/>
    <w:rsid w:val="0042004B"/>
    <w:rsid w:val="004267FD"/>
    <w:rsid w:val="00433384"/>
    <w:rsid w:val="0043777D"/>
    <w:rsid w:val="0044138C"/>
    <w:rsid w:val="00454C77"/>
    <w:rsid w:val="0045767F"/>
    <w:rsid w:val="00463E9B"/>
    <w:rsid w:val="00467414"/>
    <w:rsid w:val="00473F30"/>
    <w:rsid w:val="00484992"/>
    <w:rsid w:val="0048591A"/>
    <w:rsid w:val="00486D86"/>
    <w:rsid w:val="0048721A"/>
    <w:rsid w:val="0048768F"/>
    <w:rsid w:val="004A0BD5"/>
    <w:rsid w:val="004A1BBF"/>
    <w:rsid w:val="004A73E5"/>
    <w:rsid w:val="004C19BF"/>
    <w:rsid w:val="004D4F77"/>
    <w:rsid w:val="004D7640"/>
    <w:rsid w:val="004E1A9B"/>
    <w:rsid w:val="00500AB6"/>
    <w:rsid w:val="005155FB"/>
    <w:rsid w:val="00523907"/>
    <w:rsid w:val="00537C53"/>
    <w:rsid w:val="005438F5"/>
    <w:rsid w:val="00544901"/>
    <w:rsid w:val="005474D3"/>
    <w:rsid w:val="00550737"/>
    <w:rsid w:val="00555DD2"/>
    <w:rsid w:val="00565ED9"/>
    <w:rsid w:val="00572055"/>
    <w:rsid w:val="005760C6"/>
    <w:rsid w:val="00585A1B"/>
    <w:rsid w:val="00591260"/>
    <w:rsid w:val="00591314"/>
    <w:rsid w:val="00593D40"/>
    <w:rsid w:val="00595F1B"/>
    <w:rsid w:val="005A3BE0"/>
    <w:rsid w:val="005A6817"/>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47404"/>
    <w:rsid w:val="00651DE6"/>
    <w:rsid w:val="006523BB"/>
    <w:rsid w:val="0065347E"/>
    <w:rsid w:val="00654B49"/>
    <w:rsid w:val="006562F7"/>
    <w:rsid w:val="00656B26"/>
    <w:rsid w:val="00661DF0"/>
    <w:rsid w:val="00662505"/>
    <w:rsid w:val="0066674C"/>
    <w:rsid w:val="00674DB6"/>
    <w:rsid w:val="006760F7"/>
    <w:rsid w:val="006861C7"/>
    <w:rsid w:val="00686DDF"/>
    <w:rsid w:val="00697B12"/>
    <w:rsid w:val="006A55BB"/>
    <w:rsid w:val="006A7613"/>
    <w:rsid w:val="006B661A"/>
    <w:rsid w:val="006B7D00"/>
    <w:rsid w:val="006C6BC5"/>
    <w:rsid w:val="006D30D9"/>
    <w:rsid w:val="006D61A2"/>
    <w:rsid w:val="006E1DB4"/>
    <w:rsid w:val="006E62B6"/>
    <w:rsid w:val="006F7D0D"/>
    <w:rsid w:val="00710D3C"/>
    <w:rsid w:val="00722803"/>
    <w:rsid w:val="00737716"/>
    <w:rsid w:val="00743287"/>
    <w:rsid w:val="0074579C"/>
    <w:rsid w:val="00753DB6"/>
    <w:rsid w:val="007553A8"/>
    <w:rsid w:val="00763847"/>
    <w:rsid w:val="00765882"/>
    <w:rsid w:val="00771FE3"/>
    <w:rsid w:val="00776BDE"/>
    <w:rsid w:val="00786870"/>
    <w:rsid w:val="00792237"/>
    <w:rsid w:val="0079272A"/>
    <w:rsid w:val="007A1DA9"/>
    <w:rsid w:val="007B2252"/>
    <w:rsid w:val="007B79D9"/>
    <w:rsid w:val="007C67B1"/>
    <w:rsid w:val="007D28A6"/>
    <w:rsid w:val="007E354A"/>
    <w:rsid w:val="007E69C8"/>
    <w:rsid w:val="00801FE9"/>
    <w:rsid w:val="0080525B"/>
    <w:rsid w:val="008062C5"/>
    <w:rsid w:val="0080741A"/>
    <w:rsid w:val="00814B5B"/>
    <w:rsid w:val="00836F34"/>
    <w:rsid w:val="00843E73"/>
    <w:rsid w:val="00844EBF"/>
    <w:rsid w:val="00854F61"/>
    <w:rsid w:val="00864202"/>
    <w:rsid w:val="0087342F"/>
    <w:rsid w:val="00873B59"/>
    <w:rsid w:val="0087701F"/>
    <w:rsid w:val="0089283D"/>
    <w:rsid w:val="008A0ADC"/>
    <w:rsid w:val="008A1BAB"/>
    <w:rsid w:val="008B38B7"/>
    <w:rsid w:val="008B458E"/>
    <w:rsid w:val="008C4D4A"/>
    <w:rsid w:val="008E07E5"/>
    <w:rsid w:val="008E11AE"/>
    <w:rsid w:val="008E1708"/>
    <w:rsid w:val="008E4844"/>
    <w:rsid w:val="00904492"/>
    <w:rsid w:val="00904DFB"/>
    <w:rsid w:val="0091288E"/>
    <w:rsid w:val="0091457B"/>
    <w:rsid w:val="00923763"/>
    <w:rsid w:val="00930ED6"/>
    <w:rsid w:val="0093293F"/>
    <w:rsid w:val="00933105"/>
    <w:rsid w:val="00946602"/>
    <w:rsid w:val="009474EF"/>
    <w:rsid w:val="00962626"/>
    <w:rsid w:val="009630E7"/>
    <w:rsid w:val="009767DD"/>
    <w:rsid w:val="00977AF2"/>
    <w:rsid w:val="00985FC5"/>
    <w:rsid w:val="00993BDD"/>
    <w:rsid w:val="009A6DFB"/>
    <w:rsid w:val="009B6EC0"/>
    <w:rsid w:val="009C144B"/>
    <w:rsid w:val="009C7FAF"/>
    <w:rsid w:val="009D4199"/>
    <w:rsid w:val="009E5E6A"/>
    <w:rsid w:val="009F0DD5"/>
    <w:rsid w:val="009F1B95"/>
    <w:rsid w:val="009F6C05"/>
    <w:rsid w:val="00A13CB6"/>
    <w:rsid w:val="00A14A1A"/>
    <w:rsid w:val="00A224C6"/>
    <w:rsid w:val="00A22CDD"/>
    <w:rsid w:val="00A25AEE"/>
    <w:rsid w:val="00A31EB1"/>
    <w:rsid w:val="00A33AEA"/>
    <w:rsid w:val="00A461CD"/>
    <w:rsid w:val="00A469C5"/>
    <w:rsid w:val="00A5317D"/>
    <w:rsid w:val="00A6284E"/>
    <w:rsid w:val="00A631B0"/>
    <w:rsid w:val="00A63E81"/>
    <w:rsid w:val="00A8775A"/>
    <w:rsid w:val="00AA5998"/>
    <w:rsid w:val="00AB07E7"/>
    <w:rsid w:val="00AC25B0"/>
    <w:rsid w:val="00AD1BA8"/>
    <w:rsid w:val="00B0172F"/>
    <w:rsid w:val="00B02A29"/>
    <w:rsid w:val="00B03522"/>
    <w:rsid w:val="00B04AD6"/>
    <w:rsid w:val="00B14CAA"/>
    <w:rsid w:val="00B257CE"/>
    <w:rsid w:val="00B3101B"/>
    <w:rsid w:val="00B364CD"/>
    <w:rsid w:val="00B4746C"/>
    <w:rsid w:val="00B65354"/>
    <w:rsid w:val="00B71A0E"/>
    <w:rsid w:val="00B81765"/>
    <w:rsid w:val="00B832F5"/>
    <w:rsid w:val="00BA2FAB"/>
    <w:rsid w:val="00BB5E28"/>
    <w:rsid w:val="00BD15F3"/>
    <w:rsid w:val="00BD7986"/>
    <w:rsid w:val="00BD79D3"/>
    <w:rsid w:val="00BE26EA"/>
    <w:rsid w:val="00C04F82"/>
    <w:rsid w:val="00C15AC0"/>
    <w:rsid w:val="00C26030"/>
    <w:rsid w:val="00C41091"/>
    <w:rsid w:val="00C60778"/>
    <w:rsid w:val="00C63056"/>
    <w:rsid w:val="00C661D1"/>
    <w:rsid w:val="00C75D01"/>
    <w:rsid w:val="00C775BA"/>
    <w:rsid w:val="00C85331"/>
    <w:rsid w:val="00C85A50"/>
    <w:rsid w:val="00C94D46"/>
    <w:rsid w:val="00CA13B1"/>
    <w:rsid w:val="00CA443A"/>
    <w:rsid w:val="00CB2461"/>
    <w:rsid w:val="00CB37FD"/>
    <w:rsid w:val="00CC32E3"/>
    <w:rsid w:val="00CC4D65"/>
    <w:rsid w:val="00CC61E7"/>
    <w:rsid w:val="00CD0F2D"/>
    <w:rsid w:val="00CD25AD"/>
    <w:rsid w:val="00CD3FFC"/>
    <w:rsid w:val="00CF565C"/>
    <w:rsid w:val="00D016A3"/>
    <w:rsid w:val="00D060C5"/>
    <w:rsid w:val="00D238C1"/>
    <w:rsid w:val="00D512E3"/>
    <w:rsid w:val="00D602C9"/>
    <w:rsid w:val="00D8766B"/>
    <w:rsid w:val="00D879B1"/>
    <w:rsid w:val="00DA26A9"/>
    <w:rsid w:val="00DB01FF"/>
    <w:rsid w:val="00DC5CFE"/>
    <w:rsid w:val="00DC7778"/>
    <w:rsid w:val="00DD069A"/>
    <w:rsid w:val="00DE494A"/>
    <w:rsid w:val="00DE7391"/>
    <w:rsid w:val="00DF2DB5"/>
    <w:rsid w:val="00DF6560"/>
    <w:rsid w:val="00E04CC0"/>
    <w:rsid w:val="00E136FF"/>
    <w:rsid w:val="00E233CD"/>
    <w:rsid w:val="00E32528"/>
    <w:rsid w:val="00E35BF5"/>
    <w:rsid w:val="00E35F26"/>
    <w:rsid w:val="00E53165"/>
    <w:rsid w:val="00E61EF7"/>
    <w:rsid w:val="00E663B4"/>
    <w:rsid w:val="00E80CEB"/>
    <w:rsid w:val="00EA5103"/>
    <w:rsid w:val="00EA5545"/>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77B0E"/>
    <w:rsid w:val="00F9272E"/>
    <w:rsid w:val="00F97743"/>
    <w:rsid w:val="00FA6DAF"/>
    <w:rsid w:val="00FB718E"/>
    <w:rsid w:val="00FC24F1"/>
    <w:rsid w:val="00FC6884"/>
    <w:rsid w:val="00FE3C04"/>
    <w:rsid w:val="00FE62F3"/>
    <w:rsid w:val="00FF71D2"/>
    <w:rsid w:val="05592245"/>
    <w:rsid w:val="0C4F2692"/>
    <w:rsid w:val="0F59314D"/>
    <w:rsid w:val="111613D0"/>
    <w:rsid w:val="113B43A3"/>
    <w:rsid w:val="18ED2791"/>
    <w:rsid w:val="19913899"/>
    <w:rsid w:val="1B2418A5"/>
    <w:rsid w:val="1DBD26D8"/>
    <w:rsid w:val="1FBFC074"/>
    <w:rsid w:val="21DF65FA"/>
    <w:rsid w:val="2AAE6538"/>
    <w:rsid w:val="2CB25B4A"/>
    <w:rsid w:val="2ED973C6"/>
    <w:rsid w:val="30457D7D"/>
    <w:rsid w:val="310A673E"/>
    <w:rsid w:val="321A4CAC"/>
    <w:rsid w:val="369B398C"/>
    <w:rsid w:val="36FB9E1F"/>
    <w:rsid w:val="37B82BBD"/>
    <w:rsid w:val="38DA74D4"/>
    <w:rsid w:val="3A020FA7"/>
    <w:rsid w:val="3BFA3B96"/>
    <w:rsid w:val="3C512802"/>
    <w:rsid w:val="3CEF3472"/>
    <w:rsid w:val="3D7523E4"/>
    <w:rsid w:val="3EFF16E9"/>
    <w:rsid w:val="3F430C5D"/>
    <w:rsid w:val="42664A22"/>
    <w:rsid w:val="46821C9A"/>
    <w:rsid w:val="46C25C3E"/>
    <w:rsid w:val="47446A5B"/>
    <w:rsid w:val="4A173356"/>
    <w:rsid w:val="523D58AA"/>
    <w:rsid w:val="531E67A2"/>
    <w:rsid w:val="5507618C"/>
    <w:rsid w:val="56570706"/>
    <w:rsid w:val="56CB2A1D"/>
    <w:rsid w:val="582473AA"/>
    <w:rsid w:val="5E622BAC"/>
    <w:rsid w:val="5F2C4A61"/>
    <w:rsid w:val="63C943BF"/>
    <w:rsid w:val="657367CA"/>
    <w:rsid w:val="67193AFD"/>
    <w:rsid w:val="6B1B4BA1"/>
    <w:rsid w:val="6FCC1DB8"/>
    <w:rsid w:val="70B9601A"/>
    <w:rsid w:val="726703EA"/>
    <w:rsid w:val="738D470C"/>
    <w:rsid w:val="77105A95"/>
    <w:rsid w:val="779D2889"/>
    <w:rsid w:val="77CD4F09"/>
    <w:rsid w:val="77CF73AC"/>
    <w:rsid w:val="77DF641B"/>
    <w:rsid w:val="78FF0116"/>
    <w:rsid w:val="7BC44A48"/>
    <w:rsid w:val="7C7B7C1A"/>
    <w:rsid w:val="7D5FE565"/>
    <w:rsid w:val="B7DDD54D"/>
    <w:rsid w:val="E3FFE6ED"/>
    <w:rsid w:val="F5DB8A63"/>
    <w:rsid w:val="F797912E"/>
    <w:rsid w:val="FE7B4896"/>
    <w:rsid w:val="FFEE31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22"/>
    <w:qFormat/>
    <w:uiPriority w:val="0"/>
    <w:pPr>
      <w:jc w:val="left"/>
    </w:pPr>
  </w:style>
  <w:style w:type="paragraph" w:styleId="3">
    <w:name w:val="Balloon Text"/>
    <w:basedOn w:val="1"/>
    <w:link w:val="24"/>
    <w:qFormat/>
    <w:uiPriority w:val="0"/>
    <w:rPr>
      <w:sz w:val="18"/>
      <w:szCs w:val="18"/>
    </w:rPr>
  </w:style>
  <w:style w:type="paragraph" w:styleId="4">
    <w:name w:val="footer"/>
    <w:basedOn w:val="1"/>
    <w:link w:val="17"/>
    <w:qFormat/>
    <w:uiPriority w:val="0"/>
    <w:pPr>
      <w:tabs>
        <w:tab w:val="center" w:pos="4153"/>
        <w:tab w:val="right" w:pos="8306"/>
      </w:tabs>
      <w:snapToGrid w:val="0"/>
      <w:jc w:val="left"/>
    </w:pPr>
    <w:rPr>
      <w:sz w:val="18"/>
      <w:szCs w:val="18"/>
    </w:rPr>
  </w:style>
  <w:style w:type="paragraph" w:styleId="5">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7">
    <w:name w:val="Normal (Web)"/>
    <w:basedOn w:val="1"/>
    <w:qFormat/>
    <w:uiPriority w:val="0"/>
    <w:pPr>
      <w:spacing w:beforeAutospacing="1" w:afterAutospacing="1"/>
      <w:jc w:val="left"/>
    </w:pPr>
    <w:rPr>
      <w:kern w:val="0"/>
      <w:sz w:val="24"/>
    </w:rPr>
  </w:style>
  <w:style w:type="paragraph" w:styleId="8">
    <w:name w:val="annotation subject"/>
    <w:basedOn w:val="2"/>
    <w:next w:val="2"/>
    <w:link w:val="23"/>
    <w:qFormat/>
    <w:uiPriority w:val="0"/>
    <w:rPr>
      <w:b/>
      <w:bCs/>
    </w:rPr>
  </w:style>
  <w:style w:type="character" w:styleId="11">
    <w:name w:val="Strong"/>
    <w:basedOn w:val="10"/>
    <w:qFormat/>
    <w:uiPriority w:val="0"/>
    <w:rPr>
      <w:b/>
    </w:rPr>
  </w:style>
  <w:style w:type="character" w:styleId="12">
    <w:name w:val="annotation reference"/>
    <w:basedOn w:val="10"/>
    <w:qFormat/>
    <w:uiPriority w:val="0"/>
    <w:rPr>
      <w:sz w:val="21"/>
      <w:szCs w:val="21"/>
    </w:rPr>
  </w:style>
  <w:style w:type="paragraph" w:customStyle="1" w:styleId="13">
    <w:name w:val="_Style 6"/>
    <w:basedOn w:val="1"/>
    <w:qFormat/>
    <w:uiPriority w:val="34"/>
    <w:pPr>
      <w:ind w:firstLine="420" w:firstLineChars="200"/>
    </w:pPr>
    <w:rPr>
      <w:rFonts w:ascii="Calibri" w:hAnsi="Calibri"/>
      <w:szCs w:val="22"/>
    </w:rPr>
  </w:style>
  <w:style w:type="paragraph" w:customStyle="1" w:styleId="14">
    <w:name w:val="Char Char Char"/>
    <w:basedOn w:val="1"/>
    <w:qFormat/>
    <w:uiPriority w:val="0"/>
    <w:rPr>
      <w:szCs w:val="21"/>
    </w:rPr>
  </w:style>
  <w:style w:type="paragraph" w:customStyle="1" w:styleId="15">
    <w:name w:val="Char Char Char Char Char Char Char Char Char Char Char Char Char Char Char Char"/>
    <w:basedOn w:val="1"/>
    <w:qFormat/>
    <w:uiPriority w:val="0"/>
  </w:style>
  <w:style w:type="paragraph" w:customStyle="1" w:styleId="16">
    <w:name w:val="Char Char Char1"/>
    <w:basedOn w:val="1"/>
    <w:qFormat/>
    <w:uiPriority w:val="0"/>
  </w:style>
  <w:style w:type="character" w:customStyle="1" w:styleId="17">
    <w:name w:val="页脚 字符"/>
    <w:basedOn w:val="10"/>
    <w:link w:val="4"/>
    <w:qFormat/>
    <w:uiPriority w:val="0"/>
    <w:rPr>
      <w:kern w:val="2"/>
      <w:sz w:val="18"/>
      <w:szCs w:val="18"/>
    </w:rPr>
  </w:style>
  <w:style w:type="character" w:customStyle="1" w:styleId="18">
    <w:name w:val="页眉 字符"/>
    <w:basedOn w:val="10"/>
    <w:link w:val="5"/>
    <w:qFormat/>
    <w:uiPriority w:val="0"/>
    <w:rPr>
      <w:kern w:val="2"/>
      <w:sz w:val="18"/>
      <w:szCs w:val="18"/>
    </w:rPr>
  </w:style>
  <w:style w:type="paragraph" w:customStyle="1" w:styleId="19">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20">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1">
    <w:name w:val="修订3"/>
    <w:hidden/>
    <w:unhideWhenUsed/>
    <w:qFormat/>
    <w:uiPriority w:val="99"/>
    <w:rPr>
      <w:rFonts w:ascii="Times New Roman" w:hAnsi="Times New Roman" w:eastAsia="宋体" w:cs="Times New Roman"/>
      <w:kern w:val="2"/>
      <w:sz w:val="21"/>
      <w:szCs w:val="24"/>
      <w:lang w:val="en-US" w:eastAsia="zh-CN" w:bidi="ar-SA"/>
    </w:rPr>
  </w:style>
  <w:style w:type="character" w:customStyle="1" w:styleId="22">
    <w:name w:val="批注文字 字符"/>
    <w:basedOn w:val="10"/>
    <w:link w:val="2"/>
    <w:qFormat/>
    <w:uiPriority w:val="0"/>
    <w:rPr>
      <w:kern w:val="2"/>
      <w:sz w:val="21"/>
      <w:szCs w:val="24"/>
    </w:rPr>
  </w:style>
  <w:style w:type="character" w:customStyle="1" w:styleId="23">
    <w:name w:val="批注主题 字符"/>
    <w:basedOn w:val="22"/>
    <w:link w:val="8"/>
    <w:qFormat/>
    <w:uiPriority w:val="0"/>
    <w:rPr>
      <w:b/>
      <w:bCs/>
      <w:kern w:val="2"/>
      <w:sz w:val="21"/>
      <w:szCs w:val="24"/>
    </w:rPr>
  </w:style>
  <w:style w:type="character" w:customStyle="1" w:styleId="24">
    <w:name w:val="批注框文本 字符"/>
    <w:basedOn w:val="10"/>
    <w:link w:val="3"/>
    <w:qFormat/>
    <w:uiPriority w:val="0"/>
    <w:rPr>
      <w:kern w:val="2"/>
      <w:sz w:val="18"/>
      <w:szCs w:val="18"/>
    </w:rPr>
  </w:style>
  <w:style w:type="paragraph" w:customStyle="1" w:styleId="25">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f29fde45-6464-46e0-b17c-54e22937ac47</errorID>
      <errorWord>财务负责人高升业先生</errorWord>
      <group>L1_Other</group>
      <groupName>其他问题</groupName>
      <ability>L2_Consistency</ability>
      <abilityName>一致性检查</abilityName>
      <candidateList>
        <item>财务总监</item>
      </candidateList>
      <explain>实体一致性错误，提问环节统一以财务总监称呼该职位，此处实体表述不一致，应统一表述</explain>
      <paraID>341EE1E1</paraID>
      <start>37</start>
      <end>47</end>
      <status>unmodified</status>
      <modifiedWord/>
      <trackRevisions>false</trackRevisions>
    </reviewItem>
    <reviewItem>
      <errorID>0095f3f4-7ff5-4724-a5a9-8e9ba0565904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5F0A4182</paraID>
      <start>0</start>
      <end>2</end>
      <status>unmodified</status>
      <modifiedWord/>
      <trackRevisions>false</trackRevisions>
    </reviewItem>
    <reviewItem>
      <errorID>b732ba0e-f9ec-4093-8d5e-747a7d59e312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E50F6CD</paraID>
      <start>0</start>
      <end>2</end>
      <status>unmodified</status>
      <modifiedWord/>
      <trackRevisions>false</trackRevisions>
    </reviewItem>
    <reviewItem>
      <errorID>4426d6b6-fa0e-4387-8515-2054975c67d0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1DA4A531</paraID>
      <start>0</start>
      <end>2</end>
      <status>unmodified</status>
      <modifiedWord/>
      <trackRevisions>false</trackRevisions>
    </reviewItem>
    <reviewItem>
      <errorID>de90ef94-1595-462c-9d7c-ef5a53508316</errorID>
      <errorWord>!</errorWord>
      <group>L1_Punc</group>
      <groupName>标点问题</groupName>
      <ability>L2_Punc_CN</ability>
      <abilityName>标点符号问题</abilityName>
      <candidateList>
        <item>！</item>
      </candidateList>
      <explain/>
      <paraID>2A70EDF7</paraID>
      <start>11</start>
      <end>12</end>
      <status>modified</status>
      <modifiedWord>！</modifiedWord>
      <trackRevisions>false</trackRevisions>
    </reviewItem>
    <reviewItem>
      <errorID>2e3410fc-11ed-4a07-aeaa-60206fbe11ca</errorID>
      <errorWord>!</errorWord>
      <group>L1_Format</group>
      <groupName>格式问题</groupName>
      <ability>L2_HalfPunc_CN</ability>
      <abilityName>全半角问题</abilityName>
      <candidateList>
        <item>！</item>
      </candidateList>
      <explain>文本全半角错误。</explain>
      <paraID>2A70EDF7</paraID>
      <start>88</start>
      <end>89</end>
      <status>modified</status>
      <modifiedWord>！</modifiedWord>
      <trackRevisions>false</trackRevisions>
    </reviewItem>
    <reviewItem>
      <errorID>cfdd2062-8dbd-45b3-949b-016fa70d3b5e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3A58A75E</paraID>
      <start>0</start>
      <end>2</end>
      <status>unmodified</status>
      <modifiedWord/>
      <trackRevisions>false</trackRevisions>
    </reviewItem>
    <reviewItem>
      <errorID>31aaf921-524b-438e-9c41-5b1ce80d65a9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2E63F4D3</paraID>
      <start>0</start>
      <end>2</end>
      <status>unmodified</status>
      <modifiedWord/>
      <trackRevisions>false</trackRevisions>
    </reviewItem>
    <reviewItem>
      <errorID>d0d78ffd-d3f4-44e0-8dda-97077abc092a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56053738</paraID>
      <start>0</start>
      <end>2</end>
      <status>unmodified</status>
      <modifiedWord/>
      <trackRevisions>false</trackRevisions>
    </reviewItem>
    <reviewItem>
      <errorID>a3408e31-b423-4f59-ba4c-16013a0e1083</errorID>
      <errorWord>做</errorWord>
      <group>L1_Word</group>
      <groupName>字词问题</groupName>
      <ability>L2_Typo</ability>
      <abilityName>字词错误</abilityName>
      <candidateList>
        <item>做出</item>
      </candidateList>
      <explain/>
      <paraID>56053738</paraID>
      <start>130</start>
      <end>131</end>
      <status>unmodified</status>
      <modifiedWord/>
      <trackRevisions>false</trackRevisions>
    </reviewItem>
    <reviewItem>
      <errorID>6ac18a73-0ac0-4450-95c2-a90497b66a07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3D32AC45</paraID>
      <start>0</start>
      <end>2</end>
      <status>unmodified</status>
      <modifiedWord/>
      <trackRevisions>false</trackRevisions>
    </reviewItem>
    <reviewItem>
      <errorID>507ec261-dbd7-486c-aef0-d1bec1bdc875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347F8A2B</paraID>
      <start>0</start>
      <end>2</end>
      <status>unmodified</status>
      <modifiedWord/>
      <trackRevisions>false</trackRevisions>
    </reviewItem>
    <reviewItem>
      <errorID>7a48334f-fcc0-4c45-9e9d-768ee0900cd1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1AF03EAB</paraID>
      <start>0</start>
      <end>2</end>
      <status>unmodified</status>
      <modifiedWord/>
      <trackRevisions>false</trackRevisions>
    </reviewItem>
    <reviewItem>
      <errorID>08660c64-ded1-4a1c-a728-3cda5a2b2556</errorID>
      <errorWord>。</errorWord>
      <group>L1_Punc</group>
      <groupName>标点问题</groupName>
      <ability>L2_Punc_CN</ability>
      <abilityName>标点符号问题</abilityName>
      <candidateList>
        <item>？</item>
      </candidateList>
      <explain/>
      <paraID>1AF03EAB</paraID>
      <start>28</start>
      <end>29</end>
      <status>modified</status>
      <modifiedWord>？</modifiedWord>
      <trackRevisions>false</trackRevisions>
    </reviewItem>
    <reviewItem>
      <errorID>318f3e58-2f97-46c9-a776-40923336be93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6D1B7C13</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9797F2DD-237D-41D7-80C7-6669FC874640}">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Pages>
  <Words>2461</Words>
  <Characters>2557</Characters>
  <Lines>19</Lines>
  <Paragraphs>5</Paragraphs>
  <TotalTime>1</TotalTime>
  <ScaleCrop>false</ScaleCrop>
  <LinksUpToDate>false</LinksUpToDate>
  <CharactersWithSpaces>2647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2026-09-15T09:21:00Z</dcterms:created>
  <dc:creator>微软用户</dc:creator>
  <cp:lastModifiedBy>Lavender~Q  </cp:lastModifiedBy>
  <cp:lastPrinted>2025-12-30T09:30:00Z</cp:lastPrinted>
  <dcterms:modified xsi:type="dcterms:W3CDTF">2026-09-15T09:24:07Z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6A19F962C7F1420292041BE53BFDCF00_13</vt:lpwstr>
  </property>
  <property fmtid="{D5CDD505-2E9C-101B-9397-08002B2CF9AE}" pid="4" name="KSOTemplateDocerSaveRecord">
    <vt:lpwstr>eyJoZGlkIjoiN2UwOWQ1ODNjYjVjNzlmYjVhOTI0NTY1NDk0NTQ4YTMiLCJ1c2VySWQiOiIyNzI1NjM5MjcifQ==</vt:lpwstr>
  </property>
</Properties>
</file>