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92C22" w14:textId="77777777" w:rsidR="002B705E" w:rsidRDefault="00000000">
      <w:pPr>
        <w:jc w:val="left"/>
        <w:rPr>
          <w:rFonts w:ascii="宋体" w:hAnsi="宋体" w:hint="eastAsia"/>
          <w:sz w:val="24"/>
          <w:szCs w:val="24"/>
        </w:rPr>
      </w:pPr>
      <w:r>
        <w:rPr>
          <w:rFonts w:ascii="宋体" w:hAnsi="宋体" w:hint="eastAsia"/>
          <w:sz w:val="24"/>
          <w:szCs w:val="24"/>
        </w:rPr>
        <w:t>证券代码：</w:t>
      </w:r>
      <w:r>
        <w:rPr>
          <w:rFonts w:ascii="宋体" w:hAnsi="宋体"/>
          <w:sz w:val="24"/>
          <w:szCs w:val="24"/>
        </w:rPr>
        <w:t>600724</w:t>
      </w:r>
      <w:r>
        <w:rPr>
          <w:rFonts w:ascii="宋体" w:hAnsi="宋体" w:hint="eastAsia"/>
          <w:sz w:val="24"/>
          <w:szCs w:val="24"/>
        </w:rPr>
        <w:t xml:space="preserve">                      </w:t>
      </w:r>
      <w:r>
        <w:rPr>
          <w:rFonts w:ascii="宋体" w:hAnsi="宋体"/>
          <w:sz w:val="24"/>
          <w:szCs w:val="24"/>
        </w:rPr>
        <w:t xml:space="preserve">     </w:t>
      </w:r>
      <w:r>
        <w:rPr>
          <w:rFonts w:ascii="宋体" w:hAnsi="宋体" w:hint="eastAsia"/>
          <w:sz w:val="24"/>
          <w:szCs w:val="24"/>
        </w:rPr>
        <w:t>公司简称：</w:t>
      </w:r>
      <w:r>
        <w:rPr>
          <w:rFonts w:ascii="宋体" w:hAnsi="宋体"/>
          <w:sz w:val="24"/>
          <w:szCs w:val="24"/>
        </w:rPr>
        <w:t>宁波富达</w:t>
      </w:r>
    </w:p>
    <w:p w14:paraId="0D083A8C" w14:textId="77777777" w:rsidR="002B705E" w:rsidRDefault="00000000">
      <w:pPr>
        <w:jc w:val="center"/>
        <w:rPr>
          <w:rFonts w:ascii="黑体" w:eastAsia="黑体" w:hAnsi="黑体" w:hint="eastAsia"/>
          <w:sz w:val="36"/>
          <w:szCs w:val="36"/>
        </w:rPr>
      </w:pPr>
      <w:r>
        <w:rPr>
          <w:rFonts w:ascii="黑体" w:eastAsia="黑体" w:hAnsi="黑体" w:hint="eastAsia"/>
          <w:sz w:val="36"/>
          <w:szCs w:val="36"/>
        </w:rPr>
        <w:t>宁波富达股份有限公司</w:t>
      </w:r>
    </w:p>
    <w:p w14:paraId="2C1D0E68" w14:textId="77777777" w:rsidR="002B705E" w:rsidRDefault="00000000">
      <w:pPr>
        <w:jc w:val="center"/>
        <w:rPr>
          <w:rFonts w:ascii="黑体" w:eastAsia="黑体" w:hAnsi="黑体" w:hint="eastAsia"/>
          <w:sz w:val="36"/>
          <w:szCs w:val="36"/>
        </w:rPr>
      </w:pPr>
      <w:r>
        <w:rPr>
          <w:rFonts w:ascii="黑体" w:eastAsia="黑体" w:hAnsi="黑体" w:hint="eastAsia"/>
          <w:sz w:val="36"/>
          <w:szCs w:val="36"/>
        </w:rPr>
        <w:t>投资者关系活动记录表</w:t>
      </w:r>
    </w:p>
    <w:p w14:paraId="730A7D87" w14:textId="77777777" w:rsidR="002B705E" w:rsidRDefault="002B705E">
      <w:pPr>
        <w:jc w:val="center"/>
        <w:rPr>
          <w:rFonts w:ascii="黑体" w:eastAsia="黑体" w:hAnsi="黑体" w:hint="eastAsia"/>
          <w:sz w:val="24"/>
          <w:szCs w:val="24"/>
        </w:rPr>
      </w:pPr>
    </w:p>
    <w:p w14:paraId="3A393CD6" w14:textId="77777777" w:rsidR="002B705E" w:rsidRDefault="00000000">
      <w:pPr>
        <w:ind w:right="720"/>
        <w:jc w:val="right"/>
        <w:rPr>
          <w:rFonts w:ascii="黑体" w:eastAsia="黑体" w:hAnsi="黑体" w:hint="eastAsia"/>
          <w:sz w:val="24"/>
          <w:szCs w:val="24"/>
        </w:rPr>
      </w:pPr>
      <w:r>
        <w:rPr>
          <w:rFonts w:ascii="黑体" w:eastAsia="黑体" w:hAnsi="黑体" w:hint="eastAsia"/>
          <w:sz w:val="24"/>
          <w:szCs w:val="24"/>
        </w:rPr>
        <w:t>编号：（2026002）</w:t>
      </w:r>
    </w:p>
    <w:tbl>
      <w:tblPr>
        <w:tblStyle w:val="a4"/>
        <w:tblW w:w="8717" w:type="dxa"/>
        <w:tblLook w:val="04A0" w:firstRow="1" w:lastRow="0" w:firstColumn="1" w:lastColumn="0" w:noHBand="0" w:noVBand="1"/>
      </w:tblPr>
      <w:tblGrid>
        <w:gridCol w:w="1526"/>
        <w:gridCol w:w="7191"/>
      </w:tblGrid>
      <w:tr w:rsidR="002B705E" w14:paraId="245449AE" w14:textId="77777777">
        <w:trPr>
          <w:trHeight w:val="838"/>
        </w:trPr>
        <w:tc>
          <w:tcPr>
            <w:tcW w:w="1526" w:type="dxa"/>
            <w:vAlign w:val="center"/>
          </w:tcPr>
          <w:p w14:paraId="2F270C09" w14:textId="77777777" w:rsidR="002B705E" w:rsidRDefault="00000000">
            <w:pPr>
              <w:rPr>
                <w:sz w:val="24"/>
                <w:szCs w:val="24"/>
              </w:rPr>
            </w:pPr>
            <w:r>
              <w:rPr>
                <w:rFonts w:hint="eastAsia"/>
                <w:sz w:val="24"/>
                <w:szCs w:val="24"/>
              </w:rPr>
              <w:t>投资者关系活动类别</w:t>
            </w:r>
          </w:p>
        </w:tc>
        <w:tc>
          <w:tcPr>
            <w:tcW w:w="7191" w:type="dxa"/>
            <w:vAlign w:val="center"/>
          </w:tcPr>
          <w:p w14:paraId="19DA2F4B" w14:textId="77777777" w:rsidR="002B705E" w:rsidRDefault="00000000">
            <w:pPr>
              <w:spacing w:line="360" w:lineRule="auto"/>
              <w:rPr>
                <w:sz w:val="24"/>
                <w:szCs w:val="24"/>
              </w:rPr>
            </w:pPr>
            <w:r>
              <w:rPr>
                <w:rFonts w:ascii="宋体" w:hAnsi="宋体" w:cs="宋体" w:hint="eastAsia"/>
                <w:sz w:val="24"/>
                <w:szCs w:val="24"/>
              </w:rPr>
              <w:t>业绩说明会</w:t>
            </w:r>
          </w:p>
        </w:tc>
      </w:tr>
      <w:tr w:rsidR="002B705E" w14:paraId="641CCBFA" w14:textId="77777777">
        <w:trPr>
          <w:trHeight w:val="838"/>
        </w:trPr>
        <w:tc>
          <w:tcPr>
            <w:tcW w:w="1526" w:type="dxa"/>
            <w:vAlign w:val="center"/>
          </w:tcPr>
          <w:p w14:paraId="44A4381E" w14:textId="77777777" w:rsidR="002B705E" w:rsidRDefault="00000000">
            <w:pPr>
              <w:rPr>
                <w:sz w:val="24"/>
                <w:szCs w:val="24"/>
              </w:rPr>
            </w:pPr>
            <w:r>
              <w:rPr>
                <w:rFonts w:hint="eastAsia"/>
                <w:sz w:val="24"/>
                <w:szCs w:val="24"/>
              </w:rPr>
              <w:t>活动主题</w:t>
            </w:r>
          </w:p>
        </w:tc>
        <w:tc>
          <w:tcPr>
            <w:tcW w:w="7191" w:type="dxa"/>
            <w:vAlign w:val="center"/>
          </w:tcPr>
          <w:p w14:paraId="1A64100C" w14:textId="77777777" w:rsidR="002B705E" w:rsidRDefault="00000000">
            <w:pPr>
              <w:rPr>
                <w:sz w:val="24"/>
                <w:szCs w:val="24"/>
              </w:rPr>
            </w:pPr>
            <w:r>
              <w:rPr>
                <w:rFonts w:ascii="宋体" w:hAnsi="宋体" w:cs="宋体" w:hint="eastAsia"/>
                <w:bCs/>
                <w:iCs/>
                <w:color w:val="000000"/>
                <w:sz w:val="24"/>
                <w:lang w:val="en-GB"/>
              </w:rPr>
              <w:t>宁波富达2026年半年度业绩说明会</w:t>
            </w:r>
          </w:p>
        </w:tc>
      </w:tr>
      <w:tr w:rsidR="002B705E" w14:paraId="164A3733" w14:textId="77777777">
        <w:trPr>
          <w:trHeight w:val="799"/>
        </w:trPr>
        <w:tc>
          <w:tcPr>
            <w:tcW w:w="1526" w:type="dxa"/>
            <w:vAlign w:val="center"/>
          </w:tcPr>
          <w:p w14:paraId="56824C94" w14:textId="77777777" w:rsidR="002B705E" w:rsidRDefault="00000000">
            <w:pPr>
              <w:rPr>
                <w:sz w:val="24"/>
                <w:szCs w:val="24"/>
              </w:rPr>
            </w:pPr>
            <w:r>
              <w:rPr>
                <w:rFonts w:hint="eastAsia"/>
                <w:sz w:val="24"/>
                <w:szCs w:val="24"/>
              </w:rPr>
              <w:t>时间</w:t>
            </w:r>
          </w:p>
        </w:tc>
        <w:tc>
          <w:tcPr>
            <w:tcW w:w="7191" w:type="dxa"/>
            <w:vAlign w:val="center"/>
          </w:tcPr>
          <w:p w14:paraId="67D27A5E" w14:textId="31453989" w:rsidR="002B705E" w:rsidRDefault="00000000">
            <w:pPr>
              <w:rPr>
                <w:sz w:val="24"/>
                <w:szCs w:val="24"/>
              </w:rPr>
            </w:pPr>
            <w:r>
              <w:rPr>
                <w:rFonts w:ascii="宋体" w:hAnsi="宋体" w:cs="宋体" w:hint="eastAsia"/>
                <w:bCs/>
                <w:iCs/>
                <w:color w:val="000000"/>
                <w:sz w:val="24"/>
              </w:rPr>
              <w:t>2026-09-</w:t>
            </w:r>
            <w:proofErr w:type="gramStart"/>
            <w:r>
              <w:rPr>
                <w:rFonts w:ascii="宋体" w:hAnsi="宋体" w:cs="宋体" w:hint="eastAsia"/>
                <w:bCs/>
                <w:iCs/>
                <w:color w:val="000000"/>
                <w:sz w:val="24"/>
              </w:rPr>
              <w:t>16  09:00</w:t>
            </w:r>
            <w:proofErr w:type="gramEnd"/>
            <w:r>
              <w:rPr>
                <w:rFonts w:ascii="宋体" w:hAnsi="宋体" w:cs="宋体" w:hint="eastAsia"/>
                <w:bCs/>
                <w:iCs/>
                <w:color w:val="000000"/>
                <w:sz w:val="24"/>
              </w:rPr>
              <w:t>-10:00</w:t>
            </w:r>
          </w:p>
        </w:tc>
      </w:tr>
      <w:tr w:rsidR="002B705E" w14:paraId="408ADE7C" w14:textId="77777777">
        <w:trPr>
          <w:trHeight w:val="839"/>
        </w:trPr>
        <w:tc>
          <w:tcPr>
            <w:tcW w:w="1526" w:type="dxa"/>
            <w:vAlign w:val="center"/>
          </w:tcPr>
          <w:p w14:paraId="02DAA6FC" w14:textId="77777777" w:rsidR="002B705E" w:rsidRDefault="00000000">
            <w:pPr>
              <w:rPr>
                <w:sz w:val="24"/>
                <w:szCs w:val="24"/>
              </w:rPr>
            </w:pPr>
            <w:r>
              <w:rPr>
                <w:rFonts w:hint="eastAsia"/>
                <w:sz w:val="24"/>
                <w:szCs w:val="24"/>
              </w:rPr>
              <w:t>地点</w:t>
            </w:r>
            <w:r>
              <w:rPr>
                <w:rFonts w:ascii="宋体" w:hAnsi="宋体" w:hint="eastAsia"/>
                <w:sz w:val="24"/>
                <w:szCs w:val="24"/>
              </w:rPr>
              <w:t>/</w:t>
            </w:r>
            <w:r>
              <w:rPr>
                <w:rFonts w:hint="eastAsia"/>
                <w:sz w:val="24"/>
                <w:szCs w:val="24"/>
              </w:rPr>
              <w:t>方式</w:t>
            </w:r>
          </w:p>
        </w:tc>
        <w:tc>
          <w:tcPr>
            <w:tcW w:w="7191" w:type="dxa"/>
            <w:vAlign w:val="center"/>
          </w:tcPr>
          <w:p w14:paraId="255B38CD" w14:textId="77777777" w:rsidR="002B705E" w:rsidRDefault="00000000">
            <w:pPr>
              <w:rPr>
                <w:sz w:val="24"/>
                <w:szCs w:val="24"/>
              </w:rPr>
            </w:pPr>
            <w:r>
              <w:rPr>
                <w:rFonts w:ascii="宋体" w:hAnsi="宋体" w:hint="eastAsia"/>
                <w:bCs/>
                <w:sz w:val="24"/>
              </w:rPr>
              <w:t xml:space="preserve">上证路演中心 </w:t>
            </w:r>
            <w:hyperlink r:id="rId6" w:history="1">
              <w:r w:rsidR="002B705E">
                <w:rPr>
                  <w:rStyle w:val="a5"/>
                  <w:rFonts w:ascii="宋体" w:hAnsi="宋体" w:hint="eastAsia"/>
                  <w:bCs/>
                  <w:sz w:val="24"/>
                </w:rPr>
                <w:t>https://roadshow.sseinfo.com</w:t>
              </w:r>
            </w:hyperlink>
            <w:r>
              <w:rPr>
                <w:rFonts w:ascii="宋体" w:hAnsi="宋体" w:hint="eastAsia"/>
                <w:bCs/>
                <w:sz w:val="24"/>
              </w:rPr>
              <w:t>网络文字互动</w:t>
            </w:r>
          </w:p>
        </w:tc>
      </w:tr>
      <w:tr w:rsidR="002B705E" w14:paraId="70FF78AC" w14:textId="77777777">
        <w:trPr>
          <w:trHeight w:val="838"/>
        </w:trPr>
        <w:tc>
          <w:tcPr>
            <w:tcW w:w="1526" w:type="dxa"/>
            <w:vAlign w:val="center"/>
          </w:tcPr>
          <w:p w14:paraId="6DA5D948" w14:textId="77777777" w:rsidR="002B705E" w:rsidRDefault="00000000">
            <w:pPr>
              <w:rPr>
                <w:sz w:val="24"/>
                <w:szCs w:val="24"/>
              </w:rPr>
            </w:pPr>
            <w:r>
              <w:rPr>
                <w:rFonts w:hint="eastAsia"/>
                <w:sz w:val="24"/>
                <w:szCs w:val="24"/>
              </w:rPr>
              <w:t>参会人员</w:t>
            </w:r>
          </w:p>
        </w:tc>
        <w:tc>
          <w:tcPr>
            <w:tcW w:w="7191" w:type="dxa"/>
            <w:vAlign w:val="center"/>
          </w:tcPr>
          <w:p w14:paraId="23F27237" w14:textId="77777777" w:rsidR="002B705E" w:rsidRDefault="00000000">
            <w:pPr>
              <w:spacing w:line="360" w:lineRule="auto"/>
              <w:rPr>
                <w:rFonts w:ascii="宋体" w:hAnsi="宋体" w:cs="宋体" w:hint="eastAsia"/>
                <w:sz w:val="24"/>
                <w:szCs w:val="24"/>
              </w:rPr>
            </w:pPr>
            <w:r>
              <w:rPr>
                <w:rFonts w:ascii="宋体" w:hAnsi="宋体" w:cs="宋体" w:hint="eastAsia"/>
                <w:sz w:val="24"/>
                <w:szCs w:val="24"/>
              </w:rPr>
              <w:t>党委书记、董事、总裁：赵勇</w:t>
            </w:r>
          </w:p>
          <w:p w14:paraId="1E76073A" w14:textId="77777777" w:rsidR="002B705E" w:rsidRDefault="00000000">
            <w:pPr>
              <w:spacing w:line="360" w:lineRule="auto"/>
              <w:rPr>
                <w:rFonts w:ascii="宋体" w:hAnsi="宋体" w:cs="宋体" w:hint="eastAsia"/>
                <w:sz w:val="24"/>
                <w:szCs w:val="24"/>
              </w:rPr>
            </w:pPr>
            <w:r>
              <w:rPr>
                <w:rFonts w:ascii="宋体" w:hAnsi="宋体" w:cs="宋体" w:hint="eastAsia"/>
                <w:sz w:val="24"/>
                <w:szCs w:val="24"/>
              </w:rPr>
              <w:t>副总裁、董事会秘书兼财务负责人：张琛炜</w:t>
            </w:r>
          </w:p>
          <w:p w14:paraId="1BAE6FFF" w14:textId="77777777" w:rsidR="002B705E" w:rsidRDefault="00000000">
            <w:pPr>
              <w:spacing w:line="360" w:lineRule="auto"/>
              <w:rPr>
                <w:sz w:val="24"/>
                <w:szCs w:val="24"/>
              </w:rPr>
            </w:pPr>
            <w:r>
              <w:rPr>
                <w:rFonts w:ascii="宋体" w:hAnsi="宋体" w:cs="宋体" w:hint="eastAsia"/>
                <w:sz w:val="24"/>
                <w:szCs w:val="24"/>
              </w:rPr>
              <w:t>独立董事：王均伟</w:t>
            </w:r>
          </w:p>
        </w:tc>
      </w:tr>
      <w:tr w:rsidR="002B705E" w14:paraId="01B4B465" w14:textId="77777777">
        <w:trPr>
          <w:trHeight w:val="557"/>
        </w:trPr>
        <w:tc>
          <w:tcPr>
            <w:tcW w:w="1526" w:type="dxa"/>
            <w:vAlign w:val="center"/>
          </w:tcPr>
          <w:p w14:paraId="14653E6D" w14:textId="77777777" w:rsidR="002B705E" w:rsidRDefault="00000000">
            <w:pPr>
              <w:rPr>
                <w:sz w:val="24"/>
                <w:szCs w:val="24"/>
              </w:rPr>
            </w:pPr>
            <w:r>
              <w:rPr>
                <w:rFonts w:hint="eastAsia"/>
                <w:sz w:val="24"/>
                <w:szCs w:val="24"/>
              </w:rPr>
              <w:t>投资者关系活动主要内容介绍</w:t>
            </w:r>
          </w:p>
        </w:tc>
        <w:tc>
          <w:tcPr>
            <w:tcW w:w="7191" w:type="dxa"/>
          </w:tcPr>
          <w:p w14:paraId="451F4BF1" w14:textId="39BF99E0" w:rsidR="00E33298" w:rsidRDefault="00E33298" w:rsidP="00CF6755">
            <w:pPr>
              <w:spacing w:beforeLines="50" w:before="156" w:line="348" w:lineRule="auto"/>
            </w:pPr>
            <w:r>
              <w:rPr>
                <w:rFonts w:ascii="宋体" w:hint="eastAsia"/>
                <w:b/>
                <w:bCs/>
                <w:sz w:val="24"/>
              </w:rPr>
              <w:t>问题一</w:t>
            </w:r>
            <w:r>
              <w:rPr>
                <w:rFonts w:ascii="宋体"/>
                <w:b/>
                <w:bCs/>
                <w:sz w:val="24"/>
              </w:rPr>
              <w:t>：</w:t>
            </w:r>
            <w:r>
              <w:rPr>
                <w:rFonts w:ascii="宋体"/>
                <w:sz w:val="24"/>
              </w:rPr>
              <w:t>天一广场城市更新项目目前进展如何？</w:t>
            </w:r>
            <w:r>
              <w:rPr>
                <w:rFonts w:ascii="宋体"/>
                <w:sz w:val="24"/>
              </w:rPr>
              <w:t> </w:t>
            </w:r>
          </w:p>
          <w:p w14:paraId="5CB1368A" w14:textId="77777777" w:rsidR="00E33298" w:rsidRDefault="00E33298" w:rsidP="00CF6755">
            <w:pPr>
              <w:spacing w:line="348" w:lineRule="auto"/>
              <w:rPr>
                <w:rFonts w:ascii="宋体"/>
                <w:sz w:val="24"/>
              </w:rPr>
            </w:pPr>
            <w:proofErr w:type="gramStart"/>
            <w:r>
              <w:rPr>
                <w:rFonts w:ascii="宋体" w:hint="eastAsia"/>
                <w:b/>
                <w:bCs/>
                <w:sz w:val="24"/>
              </w:rPr>
              <w:t>答</w:t>
            </w:r>
            <w:r>
              <w:rPr>
                <w:rFonts w:ascii="宋体"/>
                <w:b/>
                <w:bCs/>
                <w:sz w:val="24"/>
              </w:rPr>
              <w:t>:</w:t>
            </w:r>
            <w:proofErr w:type="gramEnd"/>
            <w:r>
              <w:rPr>
                <w:rFonts w:ascii="宋体"/>
                <w:sz w:val="24"/>
              </w:rPr>
              <w:t>尊敬的投资者，您好！截至2026年6月底，项目累计完成投资额1,160.79万元，占总投资的2.90%。方案公众意见征求、社会风险评估及备案等工作均已办结，整体方案控规调整已公示。其中，中心广场及大舞台改造子项目已完成前期勘察、设计和招标，已于7月中旬进场施工，预计今年年底完工交付；3号门立体停车楼已完成桩基、挖土工程，主楼钢结构进入施工阶段，预计今年年底前竣工交付。2027年将陆续推出中山路外立面改造、1号门加顶、中心广场景观改造等项目，最大亮点为沿天一广场上空新增周长约600米的</w:t>
            </w:r>
            <w:proofErr w:type="gramStart"/>
            <w:r>
              <w:rPr>
                <w:rFonts w:ascii="宋体"/>
                <w:sz w:val="24"/>
              </w:rPr>
              <w:t>"天幕云环"，</w:t>
            </w:r>
            <w:proofErr w:type="gramEnd"/>
            <w:r>
              <w:rPr>
                <w:rFonts w:ascii="宋体"/>
                <w:sz w:val="24"/>
              </w:rPr>
              <w:t>预计2027年年底完成。感谢您的关注！</w:t>
            </w:r>
          </w:p>
          <w:p w14:paraId="23260BF6" w14:textId="77777777" w:rsidR="00E33298" w:rsidRDefault="00E33298" w:rsidP="00CF6755">
            <w:pPr>
              <w:spacing w:line="348" w:lineRule="auto"/>
              <w:rPr>
                <w:rFonts w:ascii="宋体"/>
                <w:sz w:val="24"/>
              </w:rPr>
            </w:pPr>
          </w:p>
          <w:p w14:paraId="74E024E8" w14:textId="4FFEBDC0" w:rsidR="00E33298" w:rsidRDefault="00E33298" w:rsidP="00CF6755">
            <w:pPr>
              <w:spacing w:line="348" w:lineRule="auto"/>
            </w:pPr>
            <w:r>
              <w:rPr>
                <w:rFonts w:ascii="宋体" w:hint="eastAsia"/>
                <w:b/>
                <w:bCs/>
                <w:sz w:val="24"/>
              </w:rPr>
              <w:t>问题二</w:t>
            </w:r>
            <w:r>
              <w:rPr>
                <w:rFonts w:ascii="宋体"/>
                <w:b/>
                <w:bCs/>
                <w:sz w:val="24"/>
              </w:rPr>
              <w:t>：</w:t>
            </w:r>
            <w:r>
              <w:rPr>
                <w:rFonts w:ascii="宋体"/>
                <w:sz w:val="24"/>
              </w:rPr>
              <w:t>公司水泥业务对碳交易政策的应对准备如何？</w:t>
            </w:r>
          </w:p>
          <w:p w14:paraId="55F4DC87" w14:textId="77777777" w:rsidR="00E33298" w:rsidRDefault="00E33298" w:rsidP="00CF6755">
            <w:pPr>
              <w:spacing w:line="348" w:lineRule="auto"/>
              <w:rPr>
                <w:rFonts w:ascii="宋体"/>
                <w:sz w:val="24"/>
              </w:rPr>
            </w:pPr>
            <w:proofErr w:type="gramStart"/>
            <w:r>
              <w:rPr>
                <w:rFonts w:ascii="宋体" w:hint="eastAsia"/>
                <w:b/>
                <w:bCs/>
                <w:sz w:val="24"/>
              </w:rPr>
              <w:t>答</w:t>
            </w:r>
            <w:r>
              <w:rPr>
                <w:rFonts w:ascii="宋体"/>
                <w:b/>
                <w:bCs/>
                <w:sz w:val="24"/>
              </w:rPr>
              <w:t>:</w:t>
            </w:r>
            <w:proofErr w:type="gramEnd"/>
            <w:r>
              <w:rPr>
                <w:rFonts w:ascii="宋体"/>
                <w:sz w:val="24"/>
              </w:rPr>
              <w:t>尊敬的投资者，您好！水泥行业从2024年开始逐步纳入国家碳排放交易体系，对行业而言，碳排放政策有利于大企业，小企业面临压力更大。公司持续跟踪全国碳市场扩容进程，已按要求开展碳</w:t>
            </w:r>
            <w:r>
              <w:rPr>
                <w:rFonts w:ascii="宋体"/>
                <w:sz w:val="24"/>
              </w:rPr>
              <w:lastRenderedPageBreak/>
              <w:t>排放数据监测与报送工作；同时，努力通过节能技改、替代燃料应用、余热发电效率提升等措施，持续降低熟料生产能耗，蒙自公司今年技改后熟料综合煤耗首次进入二级能效指标。公司将密切关注政策动态，持续深化低碳管理，稳妥应对碳交易带来的行业格局变化。感谢您的关注！</w:t>
            </w:r>
          </w:p>
          <w:p w14:paraId="270CAE10" w14:textId="77777777" w:rsidR="00E33298" w:rsidRDefault="00E33298" w:rsidP="00CF6755">
            <w:pPr>
              <w:spacing w:line="348" w:lineRule="auto"/>
              <w:rPr>
                <w:rFonts w:ascii="宋体"/>
                <w:sz w:val="24"/>
              </w:rPr>
            </w:pPr>
          </w:p>
          <w:p w14:paraId="60376D94" w14:textId="79F46EA2" w:rsidR="00E33298" w:rsidRDefault="00E33298" w:rsidP="00CF6755">
            <w:pPr>
              <w:spacing w:line="348" w:lineRule="auto"/>
            </w:pPr>
            <w:r>
              <w:rPr>
                <w:rFonts w:ascii="宋体" w:hint="eastAsia"/>
                <w:b/>
                <w:bCs/>
                <w:sz w:val="24"/>
              </w:rPr>
              <w:t>问题三</w:t>
            </w:r>
            <w:r>
              <w:rPr>
                <w:rFonts w:ascii="宋体"/>
                <w:b/>
                <w:bCs/>
                <w:sz w:val="24"/>
              </w:rPr>
              <w:t>：</w:t>
            </w:r>
            <w:r>
              <w:rPr>
                <w:rFonts w:ascii="宋体"/>
                <w:sz w:val="24"/>
              </w:rPr>
              <w:t>请简要介绍近期业绩</w:t>
            </w:r>
            <w:r w:rsidR="00CF6755">
              <w:rPr>
                <w:rFonts w:ascii="宋体" w:hint="eastAsia"/>
                <w:sz w:val="24"/>
              </w:rPr>
              <w:t>。</w:t>
            </w:r>
          </w:p>
          <w:p w14:paraId="07D3B79B" w14:textId="7643B0B1" w:rsidR="00E33298" w:rsidRDefault="00E33298" w:rsidP="00CF6755">
            <w:pPr>
              <w:spacing w:line="348" w:lineRule="auto"/>
              <w:rPr>
                <w:rFonts w:ascii="宋体"/>
                <w:sz w:val="24"/>
              </w:rPr>
            </w:pPr>
            <w:proofErr w:type="gramStart"/>
            <w:r>
              <w:rPr>
                <w:rFonts w:ascii="宋体" w:hint="eastAsia"/>
                <w:b/>
                <w:bCs/>
                <w:sz w:val="24"/>
              </w:rPr>
              <w:t>答</w:t>
            </w:r>
            <w:r>
              <w:rPr>
                <w:rFonts w:ascii="宋体"/>
                <w:b/>
                <w:bCs/>
                <w:sz w:val="24"/>
              </w:rPr>
              <w:t>:</w:t>
            </w:r>
            <w:proofErr w:type="gramEnd"/>
            <w:r>
              <w:rPr>
                <w:rFonts w:ascii="宋体"/>
                <w:sz w:val="24"/>
              </w:rPr>
              <w:t>尊敬的投资者，您好！2026年上半年公司实现营业收入6.11亿元，同比下降17.79%，实现归属于上市公司股东的净利润1.18亿元，同比增长1.78%。营业收入下降主要系水泥板块销量和均价下降所致，归母净利润微增主要得益于商业地产板块。2026年上半年商业地产板块实现营业收入2.69亿元，占公司营业收入的44.05%，同比上升4.38%，净利润1.26亿元，同比增长1.01%；水泥板块实现营业收入3.42亿元，占公司营业收入的55.93%，同比下降29.58%，净利润-0.18亿元，主要受水泥销量和均价下降影响。感谢您的关注！</w:t>
            </w:r>
          </w:p>
          <w:p w14:paraId="7061D974" w14:textId="77777777" w:rsidR="00E33298" w:rsidRDefault="00E33298" w:rsidP="00CF6755">
            <w:pPr>
              <w:spacing w:line="348" w:lineRule="auto"/>
              <w:rPr>
                <w:rFonts w:ascii="宋体"/>
                <w:sz w:val="24"/>
              </w:rPr>
            </w:pPr>
          </w:p>
          <w:p w14:paraId="1A715DF0" w14:textId="6DF1EEFD" w:rsidR="002B705E" w:rsidRDefault="00000000" w:rsidP="00CF6755">
            <w:pPr>
              <w:spacing w:beforeLines="50" w:before="156" w:line="348" w:lineRule="auto"/>
            </w:pPr>
            <w:r>
              <w:rPr>
                <w:rFonts w:ascii="宋体" w:hint="eastAsia"/>
                <w:b/>
                <w:bCs/>
                <w:sz w:val="24"/>
              </w:rPr>
              <w:t>问题</w:t>
            </w:r>
            <w:r w:rsidR="00E33298">
              <w:rPr>
                <w:rFonts w:ascii="宋体" w:hint="eastAsia"/>
                <w:b/>
                <w:bCs/>
                <w:sz w:val="24"/>
              </w:rPr>
              <w:t>四</w:t>
            </w:r>
            <w:r>
              <w:rPr>
                <w:rFonts w:ascii="宋体"/>
                <w:b/>
                <w:bCs/>
                <w:sz w:val="24"/>
              </w:rPr>
              <w:t>：</w:t>
            </w:r>
            <w:r>
              <w:rPr>
                <w:rFonts w:ascii="宋体"/>
                <w:sz w:val="24"/>
              </w:rPr>
              <w:t>您好，请问天一广场改造后如何保持商业竞争力？</w:t>
            </w:r>
          </w:p>
          <w:p w14:paraId="29026174" w14:textId="77777777" w:rsidR="002B705E" w:rsidRDefault="00000000" w:rsidP="00CF6755">
            <w:pPr>
              <w:spacing w:line="348" w:lineRule="auto"/>
              <w:rPr>
                <w:rFonts w:ascii="宋体"/>
                <w:sz w:val="24"/>
              </w:rPr>
            </w:pPr>
            <w:proofErr w:type="gramStart"/>
            <w:r>
              <w:rPr>
                <w:rFonts w:ascii="宋体" w:hint="eastAsia"/>
                <w:b/>
                <w:bCs/>
                <w:sz w:val="24"/>
              </w:rPr>
              <w:t>答</w:t>
            </w:r>
            <w:r>
              <w:rPr>
                <w:rFonts w:ascii="宋体"/>
                <w:b/>
                <w:bCs/>
                <w:sz w:val="24"/>
              </w:rPr>
              <w:t>:</w:t>
            </w:r>
            <w:proofErr w:type="gramEnd"/>
            <w:r>
              <w:rPr>
                <w:rFonts w:ascii="宋体"/>
                <w:sz w:val="24"/>
              </w:rPr>
              <w:t>尊敬的投资者，您好！天一广场地处宁波市中心三江口核心地段，是宁波</w:t>
            </w:r>
            <w:r>
              <w:rPr>
                <w:rFonts w:ascii="宋体"/>
                <w:sz w:val="24"/>
              </w:rPr>
              <w:t>“</w:t>
            </w:r>
            <w:r>
              <w:rPr>
                <w:rFonts w:ascii="宋体"/>
                <w:sz w:val="24"/>
              </w:rPr>
              <w:t>城市客厅</w:t>
            </w:r>
            <w:r>
              <w:rPr>
                <w:rFonts w:ascii="宋体"/>
                <w:sz w:val="24"/>
              </w:rPr>
              <w:t>”</w:t>
            </w:r>
            <w:r>
              <w:rPr>
                <w:rFonts w:ascii="宋体"/>
                <w:sz w:val="24"/>
              </w:rPr>
              <w:t>和头部商业综合体标杆。公司依托浙江省首批</w:t>
            </w:r>
            <w:proofErr w:type="gramStart"/>
            <w:r>
              <w:rPr>
                <w:rFonts w:ascii="宋体"/>
                <w:sz w:val="24"/>
              </w:rPr>
              <w:t>"首</w:t>
            </w:r>
            <w:proofErr w:type="gramEnd"/>
            <w:r>
              <w:rPr>
                <w:rFonts w:ascii="宋体"/>
                <w:sz w:val="24"/>
              </w:rPr>
              <w:t>店集聚</w:t>
            </w:r>
            <w:proofErr w:type="gramStart"/>
            <w:r>
              <w:rPr>
                <w:rFonts w:ascii="宋体"/>
                <w:sz w:val="24"/>
              </w:rPr>
              <w:t>区"</w:t>
            </w:r>
            <w:proofErr w:type="gramEnd"/>
            <w:r>
              <w:rPr>
                <w:rFonts w:ascii="宋体"/>
                <w:sz w:val="24"/>
              </w:rPr>
              <w:t>优势，立足差异化定位，建立商户动态管理体系，精准开展品牌招引与业态调改，并积极推进</w:t>
            </w:r>
            <w:proofErr w:type="gramStart"/>
            <w:r>
              <w:rPr>
                <w:rFonts w:ascii="宋体"/>
                <w:sz w:val="24"/>
              </w:rPr>
              <w:t>"天一</w:t>
            </w:r>
            <w:proofErr w:type="gramEnd"/>
            <w:r>
              <w:rPr>
                <w:rFonts w:ascii="宋体"/>
                <w:sz w:val="24"/>
              </w:rPr>
              <w:t>·</w:t>
            </w:r>
            <w:r>
              <w:rPr>
                <w:rFonts w:ascii="宋体"/>
                <w:sz w:val="24"/>
              </w:rPr>
              <w:t>和</w:t>
            </w:r>
            <w:proofErr w:type="gramStart"/>
            <w:r>
              <w:rPr>
                <w:rFonts w:ascii="宋体"/>
                <w:sz w:val="24"/>
              </w:rPr>
              <w:t>义"</w:t>
            </w:r>
            <w:proofErr w:type="gramEnd"/>
            <w:r>
              <w:rPr>
                <w:rFonts w:ascii="宋体"/>
                <w:sz w:val="24"/>
              </w:rPr>
              <w:t>商圈一体化联动运营。2026年上半年已引进新品牌51个，其中30家首店类，会员总量达178.1万。近期，天一广场城市消费新场景更新项目入选宁波市消费新业态新模式新场景试点首批支持项目，并获评</w:t>
            </w:r>
            <w:r>
              <w:rPr>
                <w:rFonts w:ascii="宋体"/>
                <w:sz w:val="24"/>
              </w:rPr>
              <w:t>“</w:t>
            </w:r>
            <w:r>
              <w:rPr>
                <w:rFonts w:ascii="宋体"/>
                <w:sz w:val="24"/>
              </w:rPr>
              <w:t>2026浙江省新消费创新大赛</w:t>
            </w:r>
            <w:r>
              <w:rPr>
                <w:rFonts w:ascii="宋体"/>
                <w:sz w:val="24"/>
              </w:rPr>
              <w:t>”</w:t>
            </w:r>
            <w:r>
              <w:rPr>
                <w:rFonts w:ascii="宋体"/>
                <w:sz w:val="24"/>
              </w:rPr>
              <w:t>新消费成长企业。改造完成后，天一广场将以</w:t>
            </w:r>
            <w:proofErr w:type="gramStart"/>
            <w:r>
              <w:rPr>
                <w:rFonts w:ascii="宋体"/>
                <w:sz w:val="24"/>
              </w:rPr>
              <w:t>"商文</w:t>
            </w:r>
            <w:proofErr w:type="gramEnd"/>
            <w:r>
              <w:rPr>
                <w:rFonts w:ascii="宋体"/>
                <w:sz w:val="24"/>
              </w:rPr>
              <w:t>旅体</w:t>
            </w:r>
            <w:proofErr w:type="gramStart"/>
            <w:r>
              <w:rPr>
                <w:rFonts w:ascii="宋体"/>
                <w:sz w:val="24"/>
              </w:rPr>
              <w:t>健"</w:t>
            </w:r>
            <w:proofErr w:type="gramEnd"/>
            <w:r>
              <w:rPr>
                <w:rFonts w:ascii="宋体"/>
                <w:sz w:val="24"/>
              </w:rPr>
              <w:t>融合为核心路径，巩固旗舰商业综合体地位，打造可复制、可推广的城市消费新场景。感谢您的关注！</w:t>
            </w:r>
          </w:p>
          <w:p w14:paraId="134877D9" w14:textId="77777777" w:rsidR="002B705E" w:rsidRDefault="002B705E" w:rsidP="00CF6755">
            <w:pPr>
              <w:spacing w:line="348" w:lineRule="auto"/>
              <w:rPr>
                <w:rFonts w:ascii="宋体" w:hAnsi="宋体" w:hint="eastAsia"/>
                <w:sz w:val="24"/>
                <w:szCs w:val="24"/>
              </w:rPr>
            </w:pPr>
          </w:p>
        </w:tc>
      </w:tr>
    </w:tbl>
    <w:p w14:paraId="1DC342A5" w14:textId="77777777" w:rsidR="002B705E" w:rsidRDefault="002B705E"/>
    <w:sectPr w:rsidR="002B705E">
      <w:head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A1A0C" w14:textId="77777777" w:rsidR="003D1E14" w:rsidRDefault="003D1E14">
      <w:r>
        <w:separator/>
      </w:r>
    </w:p>
  </w:endnote>
  <w:endnote w:type="continuationSeparator" w:id="0">
    <w:p w14:paraId="71F475B3" w14:textId="77777777" w:rsidR="003D1E14" w:rsidRDefault="003D1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E67AD" w14:textId="77777777" w:rsidR="003D1E14" w:rsidRDefault="003D1E14">
      <w:r>
        <w:separator/>
      </w:r>
    </w:p>
  </w:footnote>
  <w:footnote w:type="continuationSeparator" w:id="0">
    <w:p w14:paraId="2214E399" w14:textId="77777777" w:rsidR="003D1E14" w:rsidRDefault="003D1E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9B098" w14:textId="77777777" w:rsidR="002B705E" w:rsidRDefault="00000000">
    <w:pPr>
      <w:pStyle w:val="a3"/>
      <w:tabs>
        <w:tab w:val="clear" w:pos="4153"/>
      </w:tabs>
      <w:jc w:val="right"/>
    </w:pPr>
    <w:r>
      <w:rPr>
        <w:rFonts w:hint="eastAsia"/>
      </w:rPr>
      <w:t>宁波富达股份有限公司投资者关系活动记录表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jI3NTlhNGJhZTk1YmZkMTc2MTM0MTg2MGI3NTFmMTEifQ=="/>
  </w:docVars>
  <w:rsids>
    <w:rsidRoot w:val="002B705E"/>
    <w:rsid w:val="002B705E"/>
    <w:rsid w:val="003D1E14"/>
    <w:rsid w:val="00846DE0"/>
    <w:rsid w:val="00AA462D"/>
    <w:rsid w:val="00CF6755"/>
    <w:rsid w:val="00E33298"/>
    <w:rsid w:val="1CB2496B"/>
    <w:rsid w:val="26790864"/>
    <w:rsid w:val="30643A3B"/>
    <w:rsid w:val="61B42C51"/>
    <w:rsid w:val="670E1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862BBF"/>
  <w15:docId w15:val="{DB8A5C5D-6A0B-4840-9E8D-7BD17DC05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table" w:styleId="a4">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5">
    <w:name w:val="Hyperlink"/>
    <w:basedOn w:val="a0"/>
    <w:uiPriority w:val="99"/>
    <w:unhideWhenUsed/>
    <w:qFormat/>
    <w:rPr>
      <w:color w:val="0563C1"/>
      <w:u w:val="single"/>
    </w:rPr>
  </w:style>
  <w:style w:type="paragraph" w:customStyle="1" w:styleId="Style6">
    <w:name w:val="_Style 6"/>
    <w:basedOn w:val="a"/>
    <w:uiPriority w:val="34"/>
    <w:qFormat/>
    <w:pPr>
      <w:ind w:firstLineChars="200" w:firstLine="420"/>
    </w:pPr>
  </w:style>
  <w:style w:type="paragraph" w:styleId="a6">
    <w:name w:val="footer"/>
    <w:basedOn w:val="a"/>
    <w:link w:val="a7"/>
    <w:rsid w:val="00E33298"/>
    <w:pPr>
      <w:tabs>
        <w:tab w:val="center" w:pos="4153"/>
        <w:tab w:val="right" w:pos="8306"/>
      </w:tabs>
      <w:snapToGrid w:val="0"/>
      <w:jc w:val="left"/>
    </w:pPr>
    <w:rPr>
      <w:sz w:val="18"/>
      <w:szCs w:val="18"/>
    </w:rPr>
  </w:style>
  <w:style w:type="character" w:customStyle="1" w:styleId="a7">
    <w:name w:val="页脚 字符"/>
    <w:basedOn w:val="a0"/>
    <w:link w:val="a6"/>
    <w:rsid w:val="00E33298"/>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oadshow.sseinfo.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218</Words>
  <Characters>1243</Characters>
  <Application>Microsoft Office Word</Application>
  <DocSecurity>0</DocSecurity>
  <Lines>10</Lines>
  <Paragraphs>2</Paragraphs>
  <ScaleCrop>false</ScaleCrop>
  <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诺 沈</cp:lastModifiedBy>
  <cp:revision>3</cp:revision>
  <dcterms:created xsi:type="dcterms:W3CDTF">2023-06-30T02:03:00Z</dcterms:created>
  <dcterms:modified xsi:type="dcterms:W3CDTF">2026-09-16T03:47:00Z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C79BA8BE1969483A94E4FEAD23DD48DC_13</vt:lpwstr>
  </property>
  <property fmtid="{D5CDD505-2E9C-101B-9397-08002B2CF9AE}" pid="4" name="KSOTemplateDocerSaveRecord">
    <vt:lpwstr>eyJoZGlkIjoiMGFlNTYxZTJhMmI0NWFkY2QxNzUzNWE2NTYzMTIzMmIiLCJ1c2VySWQiOiIxNjg1MjA5ODc3In0=</vt:lpwstr>
  </property>
</Properties>
</file>