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054BB">
      <w:pPr>
        <w:spacing w:before="47" w:line="360" w:lineRule="auto"/>
        <w:rPr>
          <w:rFonts w:ascii="宋体" w:hAnsi="宋体" w:eastAsia="宋体" w:cs="宋体"/>
          <w:sz w:val="24"/>
          <w:szCs w:val="24"/>
          <w:lang w:eastAsia="zh-CN"/>
        </w:rPr>
      </w:pPr>
      <w:r>
        <w:rPr>
          <w:rFonts w:ascii="宋体" w:hAnsi="宋体" w:eastAsia="宋体" w:cs="宋体"/>
          <w:b/>
          <w:bCs/>
          <w:spacing w:val="-1"/>
          <w:sz w:val="24"/>
          <w:szCs w:val="24"/>
          <w:lang w:eastAsia="zh-CN"/>
        </w:rPr>
        <w:t>证券代码：</w:t>
      </w:r>
      <w:r>
        <w:rPr>
          <w:rFonts w:ascii="Times New Roman" w:hAnsi="Times New Roman" w:eastAsia="宋体" w:cs="Times New Roman"/>
          <w:b/>
          <w:bCs/>
          <w:spacing w:val="-1"/>
          <w:sz w:val="24"/>
          <w:szCs w:val="24"/>
          <w:lang w:eastAsia="zh-CN"/>
        </w:rPr>
        <w:t>603284</w:t>
      </w:r>
      <w:r>
        <w:rPr>
          <w:rFonts w:ascii="宋体" w:hAnsi="宋体" w:eastAsia="宋体" w:cs="宋体"/>
          <w:spacing w:val="-1"/>
          <w:sz w:val="24"/>
          <w:szCs w:val="24"/>
          <w:lang w:eastAsia="zh-CN"/>
        </w:rPr>
        <w:t xml:space="preserve">                                  </w:t>
      </w:r>
      <w:r>
        <w:rPr>
          <w:rFonts w:hint="eastAsia" w:ascii="宋体" w:hAnsi="宋体" w:eastAsia="宋体" w:cs="宋体"/>
          <w:spacing w:val="-1"/>
          <w:sz w:val="24"/>
          <w:szCs w:val="24"/>
          <w:lang w:eastAsia="zh-CN"/>
        </w:rPr>
        <w:t xml:space="preserve">  </w:t>
      </w:r>
      <w:r>
        <w:rPr>
          <w:rFonts w:ascii="宋体" w:hAnsi="宋体" w:eastAsia="宋体" w:cs="宋体"/>
          <w:b/>
          <w:bCs/>
          <w:spacing w:val="-1"/>
          <w:sz w:val="24"/>
          <w:szCs w:val="24"/>
          <w:lang w:eastAsia="zh-CN"/>
        </w:rPr>
        <w:t>证券简称：</w:t>
      </w:r>
      <w:r>
        <w:rPr>
          <w:rFonts w:hint="eastAsia" w:ascii="宋体" w:hAnsi="宋体" w:eastAsia="宋体" w:cs="宋体"/>
          <w:b/>
          <w:bCs/>
          <w:spacing w:val="-1"/>
          <w:sz w:val="24"/>
          <w:szCs w:val="24"/>
          <w:lang w:eastAsia="zh-CN"/>
        </w:rPr>
        <w:t>林平发展</w:t>
      </w:r>
    </w:p>
    <w:p w14:paraId="060898FF">
      <w:pPr>
        <w:spacing w:line="330" w:lineRule="auto"/>
        <w:rPr>
          <w:lang w:eastAsia="zh-CN"/>
        </w:rPr>
      </w:pPr>
    </w:p>
    <w:p w14:paraId="40E203F0">
      <w:pPr>
        <w:spacing w:before="104" w:line="220" w:lineRule="auto"/>
        <w:jc w:val="center"/>
        <w:outlineLvl w:val="0"/>
        <w:rPr>
          <w:rFonts w:ascii="宋体" w:hAnsi="宋体" w:eastAsia="宋体" w:cs="宋体"/>
          <w:sz w:val="32"/>
          <w:szCs w:val="32"/>
          <w:lang w:eastAsia="zh-CN"/>
        </w:rPr>
      </w:pPr>
      <w:r>
        <w:rPr>
          <w:rFonts w:hint="eastAsia" w:ascii="宋体" w:hAnsi="宋体" w:eastAsia="宋体" w:cs="宋体"/>
          <w:b/>
          <w:bCs/>
          <w:spacing w:val="-4"/>
          <w:sz w:val="32"/>
          <w:szCs w:val="32"/>
          <w:lang w:eastAsia="zh-CN"/>
        </w:rPr>
        <w:t>安徽林平循环发展股份有限公司</w:t>
      </w:r>
    </w:p>
    <w:p w14:paraId="6F53A9E8">
      <w:pPr>
        <w:spacing w:before="243" w:line="220" w:lineRule="auto"/>
        <w:jc w:val="center"/>
        <w:outlineLvl w:val="0"/>
        <w:rPr>
          <w:rFonts w:ascii="宋体" w:hAnsi="宋体" w:eastAsia="宋体" w:cs="宋体"/>
          <w:sz w:val="32"/>
          <w:szCs w:val="32"/>
          <w:lang w:eastAsia="zh-CN"/>
        </w:rPr>
      </w:pPr>
      <w:r>
        <w:rPr>
          <w:rFonts w:ascii="宋体" w:hAnsi="宋体" w:eastAsia="宋体" w:cs="宋体"/>
          <w:b/>
          <w:bCs/>
          <w:spacing w:val="-4"/>
          <w:sz w:val="32"/>
          <w:szCs w:val="32"/>
          <w:lang w:eastAsia="zh-CN"/>
        </w:rPr>
        <w:t>投资者关系活动记录表</w:t>
      </w:r>
    </w:p>
    <w:p w14:paraId="04D8152E">
      <w:pPr>
        <w:spacing w:line="382" w:lineRule="auto"/>
        <w:rPr>
          <w:highlight w:val="yellow"/>
          <w:lang w:eastAsia="zh-CN"/>
        </w:rPr>
      </w:pPr>
    </w:p>
    <w:p w14:paraId="0D19BAD2">
      <w:pPr>
        <w:spacing w:before="78" w:line="360" w:lineRule="auto"/>
        <w:ind w:left="329"/>
        <w:rPr>
          <w:rFonts w:eastAsia="宋体"/>
          <w:sz w:val="24"/>
          <w:szCs w:val="24"/>
          <w:lang w:eastAsia="zh-CN"/>
        </w:rPr>
      </w:pPr>
      <w:r>
        <w:rPr>
          <w:rFonts w:ascii="宋体" w:hAnsi="宋体" w:eastAsia="宋体" w:cs="宋体"/>
          <w:b/>
          <w:bCs/>
          <w:spacing w:val="-3"/>
          <w:sz w:val="24"/>
          <w:szCs w:val="24"/>
          <w:lang w:eastAsia="zh-CN"/>
        </w:rPr>
        <w:t>编号：</w:t>
      </w:r>
      <w:r>
        <w:rPr>
          <w:rFonts w:ascii="Times New Roman" w:hAnsi="Times New Roman" w:eastAsia="宋体" w:cs="Times New Roman"/>
          <w:b/>
          <w:bCs/>
          <w:spacing w:val="-3"/>
          <w:sz w:val="24"/>
          <w:szCs w:val="24"/>
          <w:lang w:eastAsia="zh-CN"/>
        </w:rPr>
        <w:t>2026-005</w:t>
      </w:r>
    </w:p>
    <w:tbl>
      <w:tblPr>
        <w:tblStyle w:val="12"/>
        <w:tblW w:w="86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6"/>
        <w:gridCol w:w="6598"/>
      </w:tblGrid>
      <w:tr w14:paraId="3392E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vAlign w:val="center"/>
          </w:tcPr>
          <w:p w14:paraId="05855552">
            <w:pPr>
              <w:pStyle w:val="13"/>
              <w:spacing w:before="116" w:line="360" w:lineRule="auto"/>
              <w:ind w:left="113" w:right="107" w:firstLine="1"/>
              <w:rPr>
                <w:rFonts w:ascii="Times New Roman" w:hAnsi="Times New Roman" w:cs="Times New Roman"/>
              </w:rPr>
            </w:pPr>
            <w:r>
              <w:rPr>
                <w:rFonts w:ascii="Times New Roman" w:hAnsi="Times New Roman" w:cs="Times New Roman"/>
                <w:b/>
                <w:bCs/>
                <w:spacing w:val="7"/>
              </w:rPr>
              <w:t>投资者关系活</w:t>
            </w:r>
            <w:r>
              <w:rPr>
                <w:rFonts w:ascii="Times New Roman" w:hAnsi="Times New Roman" w:cs="Times New Roman"/>
                <w:b/>
                <w:bCs/>
                <w:spacing w:val="-6"/>
              </w:rPr>
              <w:t>动类别</w:t>
            </w:r>
          </w:p>
        </w:tc>
        <w:tc>
          <w:tcPr>
            <w:tcW w:w="6598" w:type="dxa"/>
          </w:tcPr>
          <w:p w14:paraId="23256E63">
            <w:pPr>
              <w:pStyle w:val="13"/>
              <w:kinsoku/>
              <w:overflowPunct w:val="0"/>
              <w:spacing w:before="115"/>
              <w:ind w:left="133"/>
              <w:rPr>
                <w:rFonts w:ascii="Times New Roman" w:hAnsi="Times New Roman" w:cs="Times New Roman"/>
                <w:lang w:eastAsia="zh-CN"/>
              </w:rPr>
            </w:pPr>
            <w:r>
              <w:rPr>
                <w:rFonts w:hint="eastAsia" w:ascii="Times New Roman" w:hAnsi="Times New Roman" w:cs="Times New Roman"/>
                <w:spacing w:val="-5"/>
                <w:lang w:eastAsia="zh-CN"/>
              </w:rPr>
              <w:t>□</w:t>
            </w:r>
            <w:r>
              <w:rPr>
                <w:rFonts w:ascii="Times New Roman" w:hAnsi="Times New Roman" w:cs="Times New Roman"/>
                <w:spacing w:val="-5"/>
                <w:lang w:eastAsia="zh-CN"/>
              </w:rPr>
              <w:t>特定对象调研</w:t>
            </w:r>
            <w:r>
              <w:rPr>
                <w:rFonts w:ascii="Times New Roman" w:hAnsi="Times New Roman" w:cs="Times New Roman"/>
                <w:spacing w:val="4"/>
                <w:lang w:eastAsia="zh-CN"/>
              </w:rPr>
              <w:t xml:space="preserve">        </w:t>
            </w:r>
            <w:r>
              <w:rPr>
                <w:rFonts w:hint="eastAsia" w:ascii="Times New Roman" w:hAnsi="Times New Roman" w:cs="Times New Roman"/>
                <w:spacing w:val="-5"/>
                <w:lang w:eastAsia="zh-CN"/>
              </w:rPr>
              <w:t>□</w:t>
            </w:r>
            <w:r>
              <w:rPr>
                <w:rFonts w:ascii="Times New Roman" w:hAnsi="Times New Roman" w:cs="Times New Roman"/>
                <w:spacing w:val="-5"/>
                <w:lang w:eastAsia="zh-CN"/>
              </w:rPr>
              <w:t>分析师会议</w:t>
            </w:r>
          </w:p>
          <w:p w14:paraId="10CA1DE5">
            <w:pPr>
              <w:pStyle w:val="13"/>
              <w:kinsoku/>
              <w:overflowPunct w:val="0"/>
              <w:spacing w:before="183"/>
              <w:ind w:left="133"/>
              <w:rPr>
                <w:rFonts w:ascii="Times New Roman" w:hAnsi="Times New Roman" w:cs="Times New Roman"/>
                <w:lang w:eastAsia="zh-CN"/>
              </w:rPr>
            </w:pPr>
            <w:r>
              <w:rPr>
                <w:rFonts w:hint="eastAsia" w:ascii="Times New Roman" w:hAnsi="Times New Roman" w:cs="Times New Roman"/>
                <w:spacing w:val="-7"/>
                <w:lang w:eastAsia="zh-CN"/>
              </w:rPr>
              <w:t>□</w:t>
            </w:r>
            <w:r>
              <w:rPr>
                <w:rFonts w:ascii="Times New Roman" w:hAnsi="Times New Roman" w:cs="Times New Roman"/>
                <w:spacing w:val="-7"/>
                <w:lang w:eastAsia="zh-CN"/>
              </w:rPr>
              <w:t>媒体采访</w:t>
            </w:r>
            <w:r>
              <w:rPr>
                <w:rFonts w:ascii="Times New Roman" w:hAnsi="Times New Roman" w:cs="Times New Roman"/>
                <w:spacing w:val="3"/>
                <w:lang w:eastAsia="zh-CN"/>
              </w:rPr>
              <w:t xml:space="preserve">            </w:t>
            </w:r>
            <w:r>
              <w:rPr>
                <w:rFonts w:hint="eastAsia" w:ascii="Times New Roman" w:hAnsi="Times New Roman" w:cs="Times New Roman"/>
                <w:spacing w:val="3"/>
                <w:lang w:eastAsia="zh-CN"/>
              </w:rPr>
              <w:t xml:space="preserve">    </w:t>
            </w:r>
            <w:r>
              <w:rPr>
                <w:rFonts w:ascii="Times New Roman" w:hAnsi="Times New Roman" w:cs="Times New Roman"/>
                <w:spacing w:val="-6"/>
                <w:lang w:eastAsia="zh-CN"/>
              </w:rPr>
              <w:t>☑</w:t>
            </w:r>
            <w:r>
              <w:rPr>
                <w:rFonts w:ascii="Times New Roman" w:hAnsi="Times New Roman" w:cs="Times New Roman"/>
                <w:spacing w:val="-7"/>
                <w:lang w:eastAsia="zh-CN"/>
              </w:rPr>
              <w:t>业绩说明会</w:t>
            </w:r>
          </w:p>
          <w:p w14:paraId="11985AA9">
            <w:pPr>
              <w:pStyle w:val="13"/>
              <w:kinsoku/>
              <w:overflowPunct w:val="0"/>
              <w:spacing w:before="183"/>
              <w:ind w:left="133"/>
              <w:rPr>
                <w:rFonts w:ascii="Times New Roman" w:hAnsi="Times New Roman" w:cs="Times New Roman"/>
                <w:lang w:eastAsia="zh-CN"/>
              </w:rPr>
            </w:pPr>
            <w:r>
              <w:rPr>
                <w:rFonts w:hint="eastAsia" w:ascii="Times New Roman" w:hAnsi="Times New Roman" w:cs="Times New Roman"/>
                <w:spacing w:val="-6"/>
                <w:lang w:eastAsia="zh-CN"/>
              </w:rPr>
              <w:t>□</w:t>
            </w:r>
            <w:r>
              <w:rPr>
                <w:rFonts w:ascii="Times New Roman" w:hAnsi="Times New Roman" w:cs="Times New Roman"/>
                <w:spacing w:val="-6"/>
                <w:lang w:eastAsia="zh-CN"/>
              </w:rPr>
              <w:t>新闻发布会</w:t>
            </w:r>
            <w:r>
              <w:rPr>
                <w:rFonts w:ascii="Times New Roman" w:hAnsi="Times New Roman" w:cs="Times New Roman"/>
                <w:spacing w:val="3"/>
                <w:lang w:eastAsia="zh-CN"/>
              </w:rPr>
              <w:t xml:space="preserve">        </w:t>
            </w:r>
            <w:r>
              <w:rPr>
                <w:rFonts w:hint="eastAsia" w:ascii="Times New Roman" w:hAnsi="Times New Roman" w:cs="Times New Roman"/>
                <w:spacing w:val="3"/>
                <w:lang w:eastAsia="zh-CN"/>
              </w:rPr>
              <w:t xml:space="preserve">    </w:t>
            </w:r>
            <w:r>
              <w:rPr>
                <w:rFonts w:hint="eastAsia" w:ascii="Times New Roman" w:hAnsi="Times New Roman" w:cs="Times New Roman"/>
                <w:spacing w:val="-7"/>
                <w:lang w:eastAsia="zh-CN"/>
              </w:rPr>
              <w:t>□</w:t>
            </w:r>
            <w:r>
              <w:rPr>
                <w:rFonts w:ascii="Times New Roman" w:hAnsi="Times New Roman" w:cs="Times New Roman"/>
                <w:spacing w:val="-6"/>
                <w:lang w:eastAsia="zh-CN"/>
              </w:rPr>
              <w:t>路演活动</w:t>
            </w:r>
          </w:p>
          <w:p w14:paraId="539D1BA5">
            <w:pPr>
              <w:pStyle w:val="13"/>
              <w:kinsoku/>
              <w:overflowPunct w:val="0"/>
              <w:spacing w:before="183"/>
              <w:ind w:left="133"/>
              <w:rPr>
                <w:rFonts w:ascii="Times New Roman" w:hAnsi="Times New Roman" w:cs="Times New Roman"/>
                <w:lang w:eastAsia="zh-CN"/>
              </w:rPr>
            </w:pPr>
            <w:r>
              <w:rPr>
                <w:rFonts w:hint="eastAsia" w:ascii="Times New Roman" w:hAnsi="Times New Roman" w:cs="Times New Roman"/>
                <w:spacing w:val="-7"/>
                <w:lang w:eastAsia="zh-CN"/>
              </w:rPr>
              <w:t>□</w:t>
            </w:r>
            <w:r>
              <w:rPr>
                <w:rFonts w:ascii="Times New Roman" w:hAnsi="Times New Roman" w:cs="Times New Roman"/>
                <w:spacing w:val="-7"/>
                <w:lang w:eastAsia="zh-CN"/>
              </w:rPr>
              <w:t>现场参观</w:t>
            </w:r>
            <w:r>
              <w:rPr>
                <w:rFonts w:ascii="Times New Roman" w:hAnsi="Times New Roman" w:cs="Times New Roman"/>
                <w:spacing w:val="3"/>
                <w:lang w:eastAsia="zh-CN"/>
              </w:rPr>
              <w:t xml:space="preserve">           </w:t>
            </w:r>
            <w:r>
              <w:rPr>
                <w:rFonts w:hint="eastAsia" w:ascii="Times New Roman" w:hAnsi="Times New Roman" w:cs="Times New Roman"/>
                <w:spacing w:val="3"/>
                <w:lang w:eastAsia="zh-CN"/>
              </w:rPr>
              <w:t xml:space="preserve">    </w:t>
            </w:r>
            <w:r>
              <w:rPr>
                <w:rFonts w:ascii="Times New Roman" w:hAnsi="Times New Roman" w:cs="Times New Roman"/>
                <w:spacing w:val="3"/>
                <w:lang w:eastAsia="zh-CN"/>
              </w:rPr>
              <w:t xml:space="preserve"> </w:t>
            </w:r>
            <w:r>
              <w:rPr>
                <w:rFonts w:hint="eastAsia" w:ascii="Times New Roman" w:hAnsi="Times New Roman" w:cs="Times New Roman"/>
                <w:spacing w:val="-7"/>
                <w:lang w:eastAsia="zh-CN"/>
              </w:rPr>
              <w:t>□</w:t>
            </w:r>
            <w:r>
              <w:rPr>
                <w:rFonts w:ascii="Times New Roman" w:hAnsi="Times New Roman" w:cs="Times New Roman"/>
                <w:spacing w:val="-7"/>
                <w:lang w:eastAsia="zh-CN"/>
              </w:rPr>
              <w:t>电话会议</w:t>
            </w:r>
          </w:p>
          <w:p w14:paraId="48DFAB3A">
            <w:pPr>
              <w:pStyle w:val="13"/>
              <w:kinsoku/>
              <w:overflowPunct w:val="0"/>
              <w:spacing w:before="182"/>
              <w:ind w:left="133"/>
              <w:rPr>
                <w:rFonts w:ascii="Times New Roman" w:hAnsi="Times New Roman" w:cs="Times New Roman"/>
                <w:lang w:eastAsia="zh-CN"/>
              </w:rPr>
            </w:pPr>
            <w:r>
              <w:rPr>
                <w:rFonts w:hint="eastAsia" w:ascii="Times New Roman" w:hAnsi="Times New Roman" w:cs="Times New Roman"/>
                <w:spacing w:val="-2"/>
                <w:lang w:eastAsia="zh-CN"/>
              </w:rPr>
              <w:t>□</w:t>
            </w:r>
            <w:r>
              <w:rPr>
                <w:rFonts w:ascii="Times New Roman" w:hAnsi="Times New Roman" w:cs="Times New Roman"/>
                <w:spacing w:val="-2"/>
                <w:lang w:eastAsia="zh-CN"/>
              </w:rPr>
              <w:t>其他（</w:t>
            </w:r>
            <w:r>
              <w:rPr>
                <w:rFonts w:ascii="Times New Roman" w:hAnsi="Times New Roman" w:cs="Times New Roman"/>
                <w:spacing w:val="-2"/>
                <w:u w:val="single"/>
                <w:lang w:eastAsia="zh-CN"/>
              </w:rPr>
              <w:t>请文字说明其他活动内容）</w:t>
            </w:r>
          </w:p>
        </w:tc>
      </w:tr>
      <w:tr w14:paraId="37EE9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vAlign w:val="center"/>
          </w:tcPr>
          <w:p w14:paraId="7BF295D1">
            <w:pPr>
              <w:pStyle w:val="13"/>
              <w:spacing w:before="112" w:line="360" w:lineRule="auto"/>
              <w:ind w:left="111"/>
              <w:rPr>
                <w:rFonts w:ascii="Times New Roman" w:hAnsi="Times New Roman" w:cs="Times New Roman"/>
              </w:rPr>
            </w:pPr>
            <w:r>
              <w:rPr>
                <w:rFonts w:ascii="Times New Roman" w:hAnsi="Times New Roman" w:cs="Times New Roman"/>
                <w:b/>
                <w:bCs/>
                <w:spacing w:val="-4"/>
              </w:rPr>
              <w:t>会议时间</w:t>
            </w:r>
          </w:p>
        </w:tc>
        <w:tc>
          <w:tcPr>
            <w:tcW w:w="6598" w:type="dxa"/>
          </w:tcPr>
          <w:p w14:paraId="197D5250">
            <w:pPr>
              <w:pStyle w:val="13"/>
              <w:kinsoku/>
              <w:overflowPunct w:val="0"/>
              <w:spacing w:before="112" w:line="360" w:lineRule="auto"/>
              <w:ind w:left="112"/>
              <w:rPr>
                <w:rFonts w:ascii="Times New Roman" w:hAnsi="Times New Roman" w:cs="Times New Roman"/>
              </w:rPr>
            </w:pPr>
            <w:r>
              <w:rPr>
                <w:rFonts w:ascii="Times New Roman" w:hAnsi="Times New Roman" w:cs="Times New Roman"/>
                <w:spacing w:val="-8"/>
              </w:rPr>
              <w:t>2026年</w:t>
            </w:r>
            <w:r>
              <w:rPr>
                <w:rFonts w:ascii="Times New Roman" w:hAnsi="Times New Roman" w:cs="Times New Roman"/>
                <w:spacing w:val="-8"/>
                <w:lang w:eastAsia="zh-CN"/>
              </w:rPr>
              <w:t>9</w:t>
            </w:r>
            <w:r>
              <w:rPr>
                <w:rFonts w:ascii="Times New Roman" w:hAnsi="Times New Roman" w:cs="Times New Roman"/>
                <w:spacing w:val="-8"/>
              </w:rPr>
              <w:t>月1</w:t>
            </w:r>
            <w:r>
              <w:rPr>
                <w:rFonts w:ascii="Times New Roman" w:hAnsi="Times New Roman" w:cs="Times New Roman"/>
                <w:spacing w:val="-8"/>
                <w:lang w:eastAsia="zh-CN"/>
              </w:rPr>
              <w:t>5</w:t>
            </w:r>
            <w:r>
              <w:rPr>
                <w:rFonts w:ascii="Times New Roman" w:hAnsi="Times New Roman" w:cs="Times New Roman"/>
                <w:spacing w:val="-8"/>
              </w:rPr>
              <w:t>日1</w:t>
            </w:r>
            <w:r>
              <w:rPr>
                <w:rFonts w:ascii="Times New Roman" w:hAnsi="Times New Roman" w:cs="Times New Roman"/>
                <w:spacing w:val="-8"/>
                <w:lang w:eastAsia="zh-CN"/>
              </w:rPr>
              <w:t>5</w:t>
            </w:r>
            <w:r>
              <w:rPr>
                <w:rFonts w:ascii="Times New Roman" w:hAnsi="Times New Roman" w:cs="Times New Roman"/>
                <w:spacing w:val="-8"/>
              </w:rPr>
              <w:t>:00-1</w:t>
            </w:r>
            <w:r>
              <w:rPr>
                <w:rFonts w:ascii="Times New Roman" w:hAnsi="Times New Roman" w:cs="Times New Roman"/>
                <w:spacing w:val="-8"/>
                <w:lang w:eastAsia="zh-CN"/>
              </w:rPr>
              <w:t>6</w:t>
            </w:r>
            <w:r>
              <w:rPr>
                <w:rFonts w:ascii="Times New Roman" w:hAnsi="Times New Roman" w:cs="Times New Roman"/>
                <w:spacing w:val="-8"/>
              </w:rPr>
              <w:t>:00</w:t>
            </w:r>
          </w:p>
        </w:tc>
      </w:tr>
      <w:tr w14:paraId="349D9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vAlign w:val="center"/>
          </w:tcPr>
          <w:p w14:paraId="2A0EB72D">
            <w:pPr>
              <w:pStyle w:val="13"/>
              <w:spacing w:before="113" w:line="360" w:lineRule="auto"/>
              <w:ind w:left="111"/>
              <w:rPr>
                <w:rFonts w:ascii="Times New Roman" w:hAnsi="Times New Roman" w:cs="Times New Roman"/>
              </w:rPr>
            </w:pPr>
            <w:r>
              <w:rPr>
                <w:rFonts w:ascii="Times New Roman" w:hAnsi="Times New Roman" w:cs="Times New Roman"/>
                <w:b/>
                <w:bCs/>
                <w:spacing w:val="-4"/>
              </w:rPr>
              <w:t>会议地点</w:t>
            </w:r>
          </w:p>
        </w:tc>
        <w:tc>
          <w:tcPr>
            <w:tcW w:w="6598" w:type="dxa"/>
          </w:tcPr>
          <w:p w14:paraId="6F9E8610">
            <w:pPr>
              <w:pStyle w:val="13"/>
              <w:kinsoku/>
              <w:overflowPunct w:val="0"/>
              <w:spacing w:before="113" w:line="360" w:lineRule="auto"/>
              <w:ind w:left="111"/>
              <w:rPr>
                <w:rFonts w:ascii="Times New Roman" w:hAnsi="Times New Roman" w:cs="Times New Roman"/>
              </w:rPr>
            </w:pPr>
            <w:r>
              <w:rPr>
                <w:rFonts w:ascii="Times New Roman" w:hAnsi="Times New Roman" w:cs="Times New Roman"/>
                <w:spacing w:val="-2"/>
              </w:rPr>
              <w:t>上海证券报•中国证券网路演中心（https://roadshow.cnstock.com/）</w:t>
            </w:r>
          </w:p>
        </w:tc>
      </w:tr>
      <w:tr w14:paraId="3A7F5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vAlign w:val="center"/>
          </w:tcPr>
          <w:p w14:paraId="6F7EBB59">
            <w:pPr>
              <w:pStyle w:val="13"/>
              <w:spacing w:before="113" w:line="360" w:lineRule="auto"/>
              <w:ind w:left="114" w:right="107"/>
              <w:rPr>
                <w:rFonts w:ascii="Times New Roman" w:hAnsi="Times New Roman" w:cs="Times New Roman"/>
                <w:lang w:eastAsia="zh-CN"/>
              </w:rPr>
            </w:pPr>
            <w:r>
              <w:rPr>
                <w:rFonts w:ascii="Times New Roman" w:hAnsi="Times New Roman" w:cs="Times New Roman"/>
                <w:b/>
                <w:bCs/>
                <w:spacing w:val="7"/>
                <w:lang w:eastAsia="zh-CN"/>
              </w:rPr>
              <w:t>上市公司接待</w:t>
            </w:r>
            <w:r>
              <w:rPr>
                <w:rFonts w:ascii="Times New Roman" w:hAnsi="Times New Roman" w:cs="Times New Roman"/>
                <w:b/>
                <w:bCs/>
                <w:spacing w:val="-5"/>
                <w:lang w:eastAsia="zh-CN"/>
              </w:rPr>
              <w:t>人员姓名</w:t>
            </w:r>
          </w:p>
        </w:tc>
        <w:tc>
          <w:tcPr>
            <w:tcW w:w="6598" w:type="dxa"/>
          </w:tcPr>
          <w:p w14:paraId="22C524A7">
            <w:pPr>
              <w:pStyle w:val="13"/>
              <w:kinsoku/>
              <w:overflowPunct w:val="0"/>
              <w:spacing w:before="113" w:line="360" w:lineRule="auto"/>
              <w:ind w:left="114" w:right="103" w:firstLine="2"/>
              <w:rPr>
                <w:rFonts w:ascii="Times New Roman" w:hAnsi="Times New Roman" w:cs="Times New Roman"/>
                <w:lang w:eastAsia="zh-CN"/>
              </w:rPr>
            </w:pPr>
            <w:r>
              <w:rPr>
                <w:rFonts w:ascii="Times New Roman" w:hAnsi="Times New Roman" w:cs="Times New Roman"/>
                <w:spacing w:val="-3"/>
                <w:lang w:eastAsia="zh-CN"/>
              </w:rPr>
              <w:t>公司董事长兼总经理李建设先生，董事会秘书王善彬先生，董事兼财务总监李培凯先生，独立董事陈务平先生</w:t>
            </w:r>
          </w:p>
        </w:tc>
      </w:tr>
      <w:tr w14:paraId="62C91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tcPr>
          <w:p w14:paraId="221151AD">
            <w:pPr>
              <w:spacing w:line="360" w:lineRule="auto"/>
              <w:rPr>
                <w:rFonts w:ascii="Times New Roman" w:hAnsi="Times New Roman" w:cs="Times New Roman"/>
                <w:lang w:eastAsia="zh-CN"/>
              </w:rPr>
            </w:pPr>
          </w:p>
          <w:p w14:paraId="437FCE77">
            <w:pPr>
              <w:spacing w:line="360" w:lineRule="auto"/>
              <w:rPr>
                <w:rFonts w:ascii="Times New Roman" w:hAnsi="Times New Roman" w:cs="Times New Roman"/>
                <w:lang w:eastAsia="zh-CN"/>
              </w:rPr>
            </w:pPr>
          </w:p>
          <w:p w14:paraId="417BBE1F">
            <w:pPr>
              <w:spacing w:line="360" w:lineRule="auto"/>
              <w:rPr>
                <w:rFonts w:ascii="Times New Roman" w:hAnsi="Times New Roman" w:cs="Times New Roman"/>
                <w:lang w:eastAsia="zh-CN"/>
              </w:rPr>
            </w:pPr>
          </w:p>
          <w:p w14:paraId="48D9A4A0">
            <w:pPr>
              <w:spacing w:line="360" w:lineRule="auto"/>
              <w:rPr>
                <w:rFonts w:ascii="Times New Roman" w:hAnsi="Times New Roman" w:cs="Times New Roman"/>
                <w:lang w:eastAsia="zh-CN"/>
              </w:rPr>
            </w:pPr>
          </w:p>
          <w:p w14:paraId="0768E620">
            <w:pPr>
              <w:spacing w:line="360" w:lineRule="auto"/>
              <w:rPr>
                <w:rFonts w:ascii="Times New Roman" w:hAnsi="Times New Roman" w:cs="Times New Roman"/>
                <w:lang w:eastAsia="zh-CN"/>
              </w:rPr>
            </w:pPr>
          </w:p>
          <w:p w14:paraId="4C74EB8A">
            <w:pPr>
              <w:spacing w:line="360" w:lineRule="auto"/>
              <w:rPr>
                <w:rFonts w:ascii="Times New Roman" w:hAnsi="Times New Roman" w:cs="Times New Roman"/>
                <w:lang w:eastAsia="zh-CN"/>
              </w:rPr>
            </w:pPr>
          </w:p>
          <w:p w14:paraId="4AC028A8">
            <w:pPr>
              <w:spacing w:line="360" w:lineRule="auto"/>
              <w:rPr>
                <w:rFonts w:ascii="Times New Roman" w:hAnsi="Times New Roman" w:cs="Times New Roman"/>
                <w:lang w:eastAsia="zh-CN"/>
              </w:rPr>
            </w:pPr>
          </w:p>
          <w:p w14:paraId="7AE68A17">
            <w:pPr>
              <w:spacing w:line="360" w:lineRule="auto"/>
              <w:rPr>
                <w:rFonts w:ascii="Times New Roman" w:hAnsi="Times New Roman" w:cs="Times New Roman"/>
                <w:lang w:eastAsia="zh-CN"/>
              </w:rPr>
            </w:pPr>
          </w:p>
          <w:p w14:paraId="597EAA68">
            <w:pPr>
              <w:spacing w:line="360" w:lineRule="auto"/>
              <w:rPr>
                <w:rFonts w:ascii="Times New Roman" w:hAnsi="Times New Roman" w:cs="Times New Roman"/>
                <w:lang w:eastAsia="zh-CN"/>
              </w:rPr>
            </w:pPr>
          </w:p>
          <w:p w14:paraId="4277BEE6">
            <w:pPr>
              <w:spacing w:line="360" w:lineRule="auto"/>
              <w:rPr>
                <w:rFonts w:ascii="Times New Roman" w:hAnsi="Times New Roman" w:cs="Times New Roman"/>
                <w:lang w:eastAsia="zh-CN"/>
              </w:rPr>
            </w:pPr>
          </w:p>
          <w:p w14:paraId="6E17D837">
            <w:pPr>
              <w:pStyle w:val="13"/>
              <w:spacing w:before="78" w:line="360" w:lineRule="auto"/>
              <w:ind w:left="113" w:right="107" w:firstLine="1"/>
              <w:jc w:val="both"/>
              <w:rPr>
                <w:rFonts w:ascii="Times New Roman" w:hAnsi="Times New Roman" w:cs="Times New Roman"/>
                <w:lang w:eastAsia="zh-CN"/>
              </w:rPr>
            </w:pPr>
            <w:r>
              <w:rPr>
                <w:rFonts w:ascii="Times New Roman" w:hAnsi="Times New Roman" w:cs="Times New Roman"/>
                <w:b/>
                <w:bCs/>
                <w:spacing w:val="7"/>
                <w:lang w:eastAsia="zh-CN"/>
              </w:rPr>
              <w:t>投资者关系活</w:t>
            </w:r>
            <w:r>
              <w:rPr>
                <w:rFonts w:ascii="Times New Roman" w:hAnsi="Times New Roman" w:cs="Times New Roman"/>
                <w:b/>
                <w:bCs/>
                <w:spacing w:val="8"/>
                <w:lang w:eastAsia="zh-CN"/>
              </w:rPr>
              <w:t>动主要内容介</w:t>
            </w:r>
            <w:r>
              <w:rPr>
                <w:rFonts w:ascii="Times New Roman" w:hAnsi="Times New Roman" w:cs="Times New Roman"/>
                <w:b/>
                <w:bCs/>
                <w:spacing w:val="-3"/>
                <w:lang w:eastAsia="zh-CN"/>
              </w:rPr>
              <w:t>绍</w:t>
            </w:r>
          </w:p>
        </w:tc>
        <w:tc>
          <w:tcPr>
            <w:tcW w:w="6598" w:type="dxa"/>
            <w:tcMar>
              <w:top w:w="170" w:type="dxa"/>
              <w:left w:w="170" w:type="dxa"/>
              <w:bottom w:w="170" w:type="dxa"/>
              <w:right w:w="170" w:type="dxa"/>
            </w:tcMar>
            <w:vAlign w:val="center"/>
          </w:tcPr>
          <w:p w14:paraId="59A601E2">
            <w:pPr>
              <w:pStyle w:val="13"/>
              <w:kinsoku/>
              <w:overflowPunct w:val="0"/>
              <w:spacing w:line="360" w:lineRule="auto"/>
              <w:ind w:firstLine="472" w:firstLineChars="200"/>
              <w:jc w:val="both"/>
              <w:rPr>
                <w:rFonts w:ascii="Times New Roman" w:hAnsi="Times New Roman" w:cs="Times New Roman"/>
              </w:rPr>
            </w:pPr>
            <w:r>
              <w:rPr>
                <w:rFonts w:ascii="Times New Roman" w:hAnsi="Times New Roman" w:cs="Times New Roman"/>
                <w:spacing w:val="-2"/>
              </w:rPr>
              <w:t>本次业绩说明会在</w:t>
            </w:r>
            <w:r>
              <w:rPr>
                <w:rFonts w:ascii="Times New Roman" w:hAnsi="Times New Roman" w:cs="Times New Roman"/>
                <w:spacing w:val="-2"/>
                <w:lang w:eastAsia="zh-CN"/>
              </w:rPr>
              <w:t>上海证券报·中国证券网</w:t>
            </w:r>
            <w:r>
              <w:rPr>
                <w:rFonts w:ascii="Times New Roman" w:hAnsi="Times New Roman" w:cs="Times New Roman"/>
                <w:spacing w:val="-2"/>
              </w:rPr>
              <w:t>路演中心（https://roadshow.cnstock.com/）举行，公司参会人员线上回答了投资者提出的以下</w:t>
            </w:r>
            <w:r>
              <w:rPr>
                <w:rFonts w:ascii="Times New Roman" w:hAnsi="Times New Roman" w:cs="Times New Roman"/>
                <w:spacing w:val="-3"/>
              </w:rPr>
              <w:t>问题：</w:t>
            </w:r>
          </w:p>
          <w:p w14:paraId="44015AFE">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1.董秘您好！请问年产60万吨生物基纤维绿色智能制造新材料项目（建设期18个月，采用芬兰设备技术：维美德是全球领先的造纸产业开发者和供应商，其在中国至少有4家制造分公司）最早明年内能投产吗？​</w:t>
            </w:r>
          </w:p>
          <w:p w14:paraId="36C1D30D">
            <w:pPr>
              <w:pStyle w:val="13"/>
              <w:kinsoku/>
              <w:overflowPunct w:val="0"/>
              <w:spacing w:line="360" w:lineRule="auto"/>
              <w:ind w:firstLine="472" w:firstLineChars="200"/>
              <w:jc w:val="both"/>
              <w:rPr>
                <w:rFonts w:ascii="Times New Roman" w:hAnsi="Times New Roman" w:cs="Times New Roman"/>
                <w:lang w:eastAsia="zh-CN"/>
              </w:rPr>
            </w:pPr>
            <w:r>
              <w:rPr>
                <w:rFonts w:ascii="Times New Roman" w:hAnsi="Times New Roman" w:cs="Times New Roman"/>
                <w:spacing w:val="-2"/>
                <w:lang w:eastAsia="zh-CN"/>
              </w:rPr>
              <w:t>回复：感谢关注。60万吨生物基纤维绿色智能制造新材料项目已完成核心设备采购合同签订，目前正在按计划稳步推进，后续进展请关注公司公告。谢谢！</w:t>
            </w:r>
          </w:p>
          <w:p w14:paraId="53A7F05C">
            <w:pPr>
              <w:pStyle w:val="13"/>
              <w:kinsoku/>
              <w:overflowPunct w:val="0"/>
              <w:spacing w:line="360" w:lineRule="auto"/>
              <w:ind w:firstLine="474" w:firstLineChars="200"/>
              <w:jc w:val="both"/>
              <w:rPr>
                <w:rFonts w:ascii="Times New Roman" w:hAnsi="Times New Roman" w:cs="Times New Roman"/>
                <w:spacing w:val="-2"/>
                <w:lang w:eastAsia="zh-CN"/>
              </w:rPr>
            </w:pPr>
            <w:r>
              <w:rPr>
                <w:rFonts w:ascii="Times New Roman" w:hAnsi="Times New Roman" w:cs="Times New Roman"/>
                <w:b/>
                <w:bCs/>
                <w:spacing w:val="-2"/>
                <w:lang w:eastAsia="zh-CN"/>
              </w:rPr>
              <w:t>2.上半年，公司营业收入同比大幅增长41.13%，主要驱动因素是什么？</w:t>
            </w:r>
            <w:r>
              <w:rPr>
                <w:rFonts w:ascii="Times New Roman" w:hAnsi="Times New Roman" w:cs="Times New Roman"/>
                <w:spacing w:val="-2"/>
                <w:lang w:eastAsia="zh-CN"/>
              </w:rPr>
              <w:t>​</w:t>
            </w:r>
          </w:p>
          <w:p w14:paraId="5969BA75">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2026年上半年，公司实现营业收入17.27亿元，同比增长41.13%，主要源于上半年瓦楞纸和箱板纸市场销售价格回升，且公司年产60万吨的8600产线于2026年3月顺利投产，产能持续释放，产品销量稳步增长，量价齐升推动营业收入同比增长。谢谢！</w:t>
            </w:r>
          </w:p>
          <w:p w14:paraId="773A72E2">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3.公司二季度营收及净利润均实现了同比及环比双增长，原因是什么，后续的业绩节奏如何展望？</w:t>
            </w:r>
          </w:p>
          <w:p w14:paraId="67619A72">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2026年第二季度，公司营业收入同比增长63.63%，环比增长42.60%；净利润同比增长76.40%，环比增长47.68%，二季度营收及净利润均实现同比和环比双增长主要源于二季度新产线逐步释放产能，叠加行业价格回升，盈利兑现节奏明显加快。后续，公司也将持续推进募投项目建设，提升产品供应能力，优化产品结构与业务布局，从而提高公司产品的市场占有率及盈利能力。谢谢！</w:t>
            </w:r>
          </w:p>
          <w:p w14:paraId="2C271C13">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4.公司报告期毛利率水平如何？</w:t>
            </w:r>
          </w:p>
          <w:p w14:paraId="1C3049B1">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2026年上半年毛利率约为9.26%，整体保持稳定。公司未来将通过成本管控以及市场扩展等方式持续提升毛利率水平。在成本端，公司将深化原料端成本管理，拓展多元化采购渠道，并优化生产工艺，提升原料利用效率；在市场端，公司将稳步提升产品附加值与客户合作粘性，增强成本消化能力。谢谢！</w:t>
            </w:r>
          </w:p>
          <w:p w14:paraId="43C98750">
            <w:pPr>
              <w:pStyle w:val="13"/>
              <w:kinsoku/>
              <w:overflowPunct w:val="0"/>
              <w:spacing w:line="360" w:lineRule="auto"/>
              <w:ind w:firstLine="474" w:firstLineChars="200"/>
              <w:jc w:val="both"/>
              <w:rPr>
                <w:rFonts w:ascii="Times New Roman" w:hAnsi="Times New Roman" w:cs="Times New Roman"/>
                <w:spacing w:val="-2"/>
                <w:lang w:eastAsia="zh-CN"/>
              </w:rPr>
            </w:pPr>
            <w:r>
              <w:rPr>
                <w:rFonts w:ascii="Times New Roman" w:hAnsi="Times New Roman" w:cs="Times New Roman"/>
                <w:b/>
                <w:bCs/>
                <w:spacing w:val="-2"/>
                <w:lang w:eastAsia="zh-CN"/>
              </w:rPr>
              <w:t>5.除了上半年已经投产的90万吨绿色环保智能制造新材料项目外，公司目前还有哪些在推进的项目？</w:t>
            </w:r>
            <w:r>
              <w:rPr>
                <w:rFonts w:ascii="Times New Roman" w:hAnsi="Times New Roman" w:cs="Times New Roman"/>
                <w:spacing w:val="-2"/>
                <w:lang w:eastAsia="zh-CN"/>
              </w:rPr>
              <w:t>​</w:t>
            </w:r>
          </w:p>
          <w:p w14:paraId="148EE202">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公司同时推进年产60万吨生物基纤维绿色智能制造新材料项目。该项目主要聚焦低克重产品，可推动公司向高端化的方向发展，补齐公司的产品布局；同时可根据市场需求在瓦楞纸与箱板纸之间动态切换，降低单一品种周期波动风险，以此实现多元化销售。有关其他项目进展，请以公司公开披露的公告为准。谢谢！</w:t>
            </w:r>
          </w:p>
          <w:p w14:paraId="64297FD4">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6.在市场拓展方面，公司上半年有哪些举措？​</w:t>
            </w:r>
          </w:p>
          <w:p w14:paraId="606CBD5C">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公司现有客户群体储备充足、客户结构高度分散，市场基础稳固，目前华东核心市场已建立起区域优势；并稳步开拓华中及全国潜力市场，完善网络布局。后续，公司将加强市场调研，密切关注下游行业需求变化，及时调整产品结构，重点布局高需求、高附加值品类；拓展多元化客户群体，降低单一行业需求波动带来的影响。谢谢！</w:t>
            </w:r>
          </w:p>
          <w:p w14:paraId="583D7182">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7.公司的整体战略规划是什么？</w:t>
            </w:r>
          </w:p>
          <w:p w14:paraId="14E33388">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公司始终坚持“绿色制造+循环经济”双轮驱动，确立以绿色生产为目标、以技术升级为驱动、以市场需求为导向、以节能降耗为抓手的总体战略路径，全面推进产线升级、推动产业增效。公司稳步推进募投项目以扩大生产经营规模；同步推进产线设备升级，在优化产品品质的同时提升生产效益；持续完善内控体系建设以及运营管理水平，保障公司各项工作平稳运行。谢谢！</w:t>
            </w:r>
          </w:p>
          <w:p w14:paraId="507BA486">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8.2026年上半年包装纸行业的整体景气度如何，公司如何展望造纸行业的发展方向？</w:t>
            </w:r>
          </w:p>
          <w:p w14:paraId="222F54A5">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2026年上半年，包装纸的景气度持续上行。国家统计局数据显示，2026年1—6月，全国规模以上工业企业实现利润总额39,479.9亿元，同比增长18.7%；其中，造纸和纸制品业实现利润总额196.1亿元，同比上涨27.5%，行业盈利稳步回升，明显跑赢规上工业整体。板块景气的主要驱动因素来自下游出口需求回升以及上游原材料供应偏紧。</w:t>
            </w:r>
          </w:p>
          <w:p w14:paraId="66130434">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中长期看，箱板瓦楞纸行业有三条主线：第一，绿色化与循环化，“废纸回收+热电联产”一体化模式将获得成本与合规双重红利；第二，规模化与集中化，行业集中度持续提升，头部企业凭借规模化、一体化优势持续抢占市场份额；第三，高端化与定制化，下游消费升级带动高强度、轻量化、高颜值包装需求增长，对纸机宽幅、车速、稳定性要求进一步提升。公司在三条主线上均具备一定优势。谢谢！</w:t>
            </w:r>
          </w:p>
          <w:p w14:paraId="5ECE7BA4">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9.公司在管理市值、提升投资者投资回报方面有哪些举措？</w:t>
            </w:r>
          </w:p>
          <w:p w14:paraId="3B04E5AD">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公司高度重视市值管理以及股东价值回报，已于2026年6月顺利完成2025年年度权益分派工作，共计派发现金红利约4,675.72万元，以“真金白银”回馈股东的支持与信任。公司已制定《公司上市后三年内股东回报规划》，未来将在符合条件的前提下，结合经营业绩、资本开支节奏和监管要求，保持稳健、可持续的现金分红政策，与广大投资者共享发展成果。公司将持续夯实主业根基，扎实推进各项募投项目建设，以产能升级、技术升级和结构升级持续增强核心竞争优势与可持续盈利能力；并将加强投资者关系管理，通过业绩说明会、路演等多种渠道，及时、准确地向市场传递公司发展战略与经营成果。此外，公司将规范治理结构，以提升治理效能，实现高质量发展。未来，公司将坚持高质量发展，努力推动市值与内在价值相匹配，实现股东价值最大化。谢谢！</w:t>
            </w:r>
          </w:p>
          <w:p w14:paraId="6E14CDA7">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10.上半年，公司净利润增速低于营收增速，原因为何？</w:t>
            </w:r>
          </w:p>
          <w:p w14:paraId="08892AB2">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2026年上半年，公司实现营业收入17.27亿元，同比增长41.13%；归属于上市公司股东的净利润1.16亿元，同比增长27.33%。净利润增幅低于营收增幅，主要受两方面因素影响：一是上游废纸等原材料采购价格维持高位，原材料成本上涨对盈利形成一定挤压；二是新产线投产初期折旧等固定费用有所增加，规模效应尚未充分释放。展望下半年，公司将持续推进募投项目以扩大生产经营规模，并持续完善运营管理水平，以提升公司净利润水平。谢谢！</w:t>
            </w:r>
          </w:p>
          <w:p w14:paraId="30DFAFA0">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11.下半年纸张市场销售价格还能保持在高位运行吗？</w:t>
            </w:r>
          </w:p>
          <w:p w14:paraId="7DCC08E1">
            <w:pPr>
              <w:pStyle w:val="13"/>
              <w:kinsoku/>
              <w:overflowPunct w:val="0"/>
              <w:spacing w:line="360" w:lineRule="auto"/>
              <w:ind w:firstLine="472" w:firstLineChars="200"/>
              <w:jc w:val="both"/>
              <w:rPr>
                <w:rFonts w:ascii="Times New Roman" w:hAnsi="Times New Roman" w:cs="Times New Roman"/>
                <w:spacing w:val="-2"/>
                <w:lang w:eastAsia="zh-CN"/>
              </w:rPr>
            </w:pPr>
            <w:r>
              <w:rPr>
                <w:rFonts w:ascii="Times New Roman" w:hAnsi="Times New Roman" w:cs="Times New Roman"/>
                <w:spacing w:val="-2"/>
                <w:lang w:eastAsia="zh-CN"/>
              </w:rPr>
              <w:t>回复：感谢关注。上半年，伴随下游需求回暖，瓦楞纸及箱板纸市场销售价格回升，带动公司业绩上涨。目前纸张价格整体保持稳定，其后续市场销售价格受终端需求、市场竞争、国内外关税等多种因素影响，存在不确定性。公司将密切关注市场变化，并将通过原材料成本管控等举措稳定公司业绩水平。谢谢！</w:t>
            </w:r>
          </w:p>
          <w:p w14:paraId="21DE72A0">
            <w:pPr>
              <w:pStyle w:val="13"/>
              <w:kinsoku/>
              <w:overflowPunct w:val="0"/>
              <w:spacing w:line="360" w:lineRule="auto"/>
              <w:ind w:firstLine="474" w:firstLineChars="200"/>
              <w:jc w:val="both"/>
              <w:rPr>
                <w:rFonts w:ascii="Times New Roman" w:hAnsi="Times New Roman" w:cs="Times New Roman"/>
                <w:b/>
                <w:bCs/>
                <w:spacing w:val="-2"/>
                <w:lang w:eastAsia="zh-CN"/>
              </w:rPr>
            </w:pPr>
            <w:r>
              <w:rPr>
                <w:rFonts w:ascii="Times New Roman" w:hAnsi="Times New Roman" w:cs="Times New Roman"/>
                <w:b/>
                <w:bCs/>
                <w:spacing w:val="-2"/>
                <w:lang w:eastAsia="zh-CN"/>
              </w:rPr>
              <w:t>12.后期还有哪些募投项目未完成，进度如何了？</w:t>
            </w:r>
          </w:p>
          <w:p w14:paraId="30DE8286">
            <w:pPr>
              <w:pStyle w:val="13"/>
              <w:tabs>
                <w:tab w:val="left" w:pos="644"/>
              </w:tabs>
              <w:kinsoku/>
              <w:overflowPunct w:val="0"/>
              <w:spacing w:line="360" w:lineRule="auto"/>
              <w:ind w:firstLine="0" w:firstLineChars="0"/>
              <w:jc w:val="both"/>
              <w:rPr>
                <w:rFonts w:ascii="Times New Roman" w:hAnsi="Times New Roman" w:cs="Times New Roman"/>
                <w:b/>
                <w:bCs/>
                <w:spacing w:val="-2"/>
                <w:lang w:eastAsia="zh-CN"/>
              </w:rPr>
            </w:pPr>
            <w:r>
              <w:rPr>
                <w:rFonts w:ascii="Times New Roman" w:hAnsi="Times New Roman" w:cs="Times New Roman"/>
                <w:spacing w:val="-2"/>
                <w:lang w:eastAsia="zh-CN"/>
              </w:rPr>
              <w:t>回复：感谢关注。目前年产60万吨生物基纤维绿色智能制造新材料项目正在推进中，该项目已完成核心设备采购合同签订。有关其他项目进展，请以公司公开披露的公告为准。谢谢！</w:t>
            </w:r>
          </w:p>
        </w:tc>
      </w:tr>
      <w:tr w14:paraId="7E03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tcPr>
          <w:p w14:paraId="4912EF9B">
            <w:pPr>
              <w:pStyle w:val="13"/>
              <w:spacing w:before="41" w:line="219" w:lineRule="auto"/>
              <w:ind w:left="131"/>
              <w:rPr>
                <w:rFonts w:ascii="Times New Roman" w:hAnsi="Times New Roman" w:cs="Times New Roman"/>
                <w:b/>
                <w:bCs/>
                <w:spacing w:val="-9"/>
                <w:lang w:eastAsia="zh-CN"/>
              </w:rPr>
            </w:pPr>
            <w:r>
              <w:rPr>
                <w:rFonts w:hint="eastAsia" w:ascii="Times New Roman" w:hAnsi="Times New Roman" w:cs="Times New Roman"/>
                <w:b/>
                <w:bCs/>
                <w:spacing w:val="-9"/>
                <w:lang w:eastAsia="zh-CN"/>
              </w:rPr>
              <w:t>是否涉及应当披露的重大信息</w:t>
            </w:r>
          </w:p>
        </w:tc>
        <w:tc>
          <w:tcPr>
            <w:tcW w:w="6598" w:type="dxa"/>
          </w:tcPr>
          <w:p w14:paraId="767EEAD1">
            <w:pPr>
              <w:pStyle w:val="13"/>
              <w:spacing w:before="120" w:line="220" w:lineRule="auto"/>
              <w:ind w:left="111"/>
              <w:rPr>
                <w:rFonts w:ascii="Times New Roman" w:hAnsi="Times New Roman" w:cs="Times New Roman"/>
                <w:lang w:eastAsia="zh-CN"/>
              </w:rPr>
            </w:pPr>
            <w:r>
              <w:rPr>
                <w:rFonts w:hint="eastAsia" w:ascii="Times New Roman" w:hAnsi="Times New Roman" w:cs="Times New Roman"/>
                <w:lang w:eastAsia="zh-CN"/>
              </w:rPr>
              <w:t>否</w:t>
            </w:r>
          </w:p>
        </w:tc>
      </w:tr>
      <w:tr w14:paraId="38AA1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tcPr>
          <w:p w14:paraId="2769A8AB">
            <w:pPr>
              <w:pStyle w:val="13"/>
              <w:spacing w:before="41" w:line="219" w:lineRule="auto"/>
              <w:ind w:left="131"/>
              <w:rPr>
                <w:rFonts w:ascii="Times New Roman" w:hAnsi="Times New Roman" w:cs="Times New Roman"/>
              </w:rPr>
            </w:pPr>
            <w:r>
              <w:rPr>
                <w:rFonts w:ascii="Times New Roman" w:hAnsi="Times New Roman" w:cs="Times New Roman"/>
                <w:b/>
                <w:bCs/>
                <w:spacing w:val="-9"/>
              </w:rPr>
              <w:t>附件清单</w:t>
            </w:r>
          </w:p>
          <w:p w14:paraId="2A14CFCD">
            <w:pPr>
              <w:pStyle w:val="13"/>
              <w:spacing w:before="27" w:line="199" w:lineRule="auto"/>
              <w:ind w:left="118"/>
              <w:rPr>
                <w:rFonts w:ascii="Times New Roman" w:hAnsi="Times New Roman" w:cs="Times New Roman"/>
              </w:rPr>
            </w:pPr>
            <w:r>
              <w:rPr>
                <w:rFonts w:ascii="Times New Roman" w:hAnsi="Times New Roman" w:cs="Times New Roman"/>
                <w:b/>
                <w:bCs/>
                <w:spacing w:val="-6"/>
              </w:rPr>
              <w:t>（如有）</w:t>
            </w:r>
          </w:p>
        </w:tc>
        <w:tc>
          <w:tcPr>
            <w:tcW w:w="6598" w:type="dxa"/>
          </w:tcPr>
          <w:p w14:paraId="6BD7294C">
            <w:pPr>
              <w:pStyle w:val="13"/>
              <w:spacing w:before="120" w:line="220" w:lineRule="auto"/>
              <w:ind w:left="111"/>
              <w:rPr>
                <w:rFonts w:ascii="Times New Roman" w:hAnsi="Times New Roman" w:cs="Times New Roman"/>
              </w:rPr>
            </w:pPr>
            <w:r>
              <w:rPr>
                <w:rFonts w:ascii="Times New Roman" w:hAnsi="Times New Roman" w:cs="Times New Roman"/>
              </w:rPr>
              <w:t>无</w:t>
            </w:r>
          </w:p>
        </w:tc>
      </w:tr>
      <w:tr w14:paraId="3D066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016" w:type="dxa"/>
          </w:tcPr>
          <w:p w14:paraId="56114835">
            <w:pPr>
              <w:pStyle w:val="13"/>
              <w:spacing w:before="121" w:line="220" w:lineRule="auto"/>
              <w:ind w:left="153"/>
              <w:rPr>
                <w:rFonts w:ascii="Times New Roman" w:hAnsi="Times New Roman" w:cs="Times New Roman"/>
              </w:rPr>
            </w:pPr>
            <w:r>
              <w:rPr>
                <w:rFonts w:ascii="Times New Roman" w:hAnsi="Times New Roman" w:cs="Times New Roman"/>
                <w:b/>
                <w:bCs/>
                <w:spacing w:val="-28"/>
              </w:rPr>
              <w:t>日期</w:t>
            </w:r>
          </w:p>
        </w:tc>
        <w:tc>
          <w:tcPr>
            <w:tcW w:w="6598" w:type="dxa"/>
          </w:tcPr>
          <w:p w14:paraId="2C179A2C">
            <w:pPr>
              <w:pStyle w:val="13"/>
              <w:spacing w:before="120" w:line="220" w:lineRule="auto"/>
              <w:ind w:left="112"/>
              <w:rPr>
                <w:rFonts w:ascii="Times New Roman" w:hAnsi="Times New Roman" w:cs="Times New Roman"/>
                <w:lang w:eastAsia="zh-CN"/>
              </w:rPr>
            </w:pPr>
            <w:r>
              <w:rPr>
                <w:rFonts w:ascii="Times New Roman" w:hAnsi="Times New Roman" w:cs="Times New Roman"/>
                <w:lang w:eastAsia="zh-CN"/>
              </w:rPr>
              <w:t>2026年9月1</w:t>
            </w:r>
            <w:r>
              <w:rPr>
                <w:rFonts w:hint="eastAsia" w:ascii="Times New Roman" w:hAnsi="Times New Roman" w:cs="Times New Roman"/>
                <w:lang w:val="en-US" w:eastAsia="zh-CN"/>
              </w:rPr>
              <w:t>6</w:t>
            </w:r>
            <w:r>
              <w:rPr>
                <w:rFonts w:ascii="Times New Roman" w:hAnsi="Times New Roman" w:cs="Times New Roman"/>
                <w:lang w:eastAsia="zh-CN"/>
              </w:rPr>
              <w:t>日</w:t>
            </w:r>
          </w:p>
        </w:tc>
      </w:tr>
    </w:tbl>
    <w:p w14:paraId="36FE7FD7">
      <w:bookmarkStart w:id="0" w:name="_GoBack"/>
      <w:bookmarkEnd w:id="0"/>
    </w:p>
    <w:sectPr>
      <w:footerReference r:id="rId3" w:type="default"/>
      <w:pgSz w:w="11906" w:h="16839"/>
      <w:pgMar w:top="1431" w:right="1785" w:bottom="1498" w:left="1481" w:header="0" w:footer="121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C1D83">
    <w:pPr>
      <w:spacing w:line="270" w:lineRule="exact"/>
      <w:ind w:left="4427"/>
      <w:rPr>
        <w:rFonts w:ascii="等线" w:hAnsi="等线" w:eastAsia="等线" w:cs="等线"/>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3F6A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893F6A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trackRevisions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6C25BF"/>
    <w:rsid w:val="002611BB"/>
    <w:rsid w:val="003829CE"/>
    <w:rsid w:val="00524C02"/>
    <w:rsid w:val="006C25BF"/>
    <w:rsid w:val="00745CFC"/>
    <w:rsid w:val="04910D1F"/>
    <w:rsid w:val="055E32F7"/>
    <w:rsid w:val="15141FC7"/>
    <w:rsid w:val="152873EC"/>
    <w:rsid w:val="15E054BB"/>
    <w:rsid w:val="1A8B5DA4"/>
    <w:rsid w:val="206B05C5"/>
    <w:rsid w:val="21E72231"/>
    <w:rsid w:val="22A41BE1"/>
    <w:rsid w:val="23123E0C"/>
    <w:rsid w:val="30676C54"/>
    <w:rsid w:val="410B5D83"/>
    <w:rsid w:val="504E4093"/>
    <w:rsid w:val="56170651"/>
    <w:rsid w:val="59001DBE"/>
    <w:rsid w:val="5D0D6F52"/>
    <w:rsid w:val="5E856A0A"/>
    <w:rsid w:val="60A972A5"/>
    <w:rsid w:val="69311843"/>
    <w:rsid w:val="69453C5C"/>
    <w:rsid w:val="70BF5715"/>
    <w:rsid w:val="73237AF4"/>
    <w:rsid w:val="7AFD6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uiPriority w:val="0"/>
  </w:style>
  <w:style w:type="paragraph" w:styleId="3">
    <w:name w:val="footer"/>
    <w:basedOn w:val="1"/>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6">
    <w:name w:val="Normal (Web)"/>
    <w:basedOn w:val="1"/>
    <w:unhideWhenUsed/>
    <w:qFormat/>
    <w:uiPriority w:val="99"/>
    <w:pPr>
      <w:spacing w:before="100" w:beforeAutospacing="1" w:after="100" w:afterAutospacing="1"/>
    </w:pPr>
    <w:rPr>
      <w:rFonts w:ascii="宋体" w:hAnsi="宋体" w:eastAsia="宋体" w:cs="宋体"/>
      <w:szCs w:val="24"/>
    </w:rPr>
  </w:style>
  <w:style w:type="paragraph" w:styleId="7">
    <w:name w:val="annotation subject"/>
    <w:basedOn w:val="2"/>
    <w:next w:val="2"/>
    <w:link w:val="16"/>
    <w:uiPriority w:val="0"/>
    <w:rPr>
      <w:b/>
      <w:bCs/>
    </w:rPr>
  </w:style>
  <w:style w:type="character" w:styleId="10">
    <w:name w:val="Strong"/>
    <w:basedOn w:val="9"/>
    <w:qFormat/>
    <w:uiPriority w:val="0"/>
    <w:rPr>
      <w:b/>
    </w:rPr>
  </w:style>
  <w:style w:type="character" w:styleId="11">
    <w:name w:val="annotation reference"/>
    <w:basedOn w:val="9"/>
    <w:uiPriority w:val="0"/>
    <w:rPr>
      <w:sz w:val="21"/>
      <w:szCs w:val="21"/>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rPr>
  </w:style>
  <w:style w:type="paragraph" w:customStyle="1" w:styleId="14">
    <w:name w:val="Revision"/>
    <w:hidden/>
    <w:semiHidden/>
    <w:uiPriority w:val="99"/>
    <w:rPr>
      <w:rFonts w:ascii="Arial" w:hAnsi="Arial" w:eastAsia="Arial" w:cs="Arial"/>
      <w:snapToGrid w:val="0"/>
      <w:color w:val="000000"/>
      <w:sz w:val="21"/>
      <w:szCs w:val="21"/>
      <w:lang w:val="en-US" w:eastAsia="en-US" w:bidi="ar-SA"/>
    </w:rPr>
  </w:style>
  <w:style w:type="character" w:customStyle="1" w:styleId="15">
    <w:name w:val="批注文字 字符"/>
    <w:basedOn w:val="9"/>
    <w:link w:val="2"/>
    <w:uiPriority w:val="0"/>
    <w:rPr>
      <w:rFonts w:ascii="Arial" w:hAnsi="Arial" w:eastAsia="Arial" w:cs="Arial"/>
      <w:snapToGrid w:val="0"/>
      <w:color w:val="000000"/>
      <w:sz w:val="21"/>
      <w:szCs w:val="21"/>
      <w:lang w:eastAsia="en-US"/>
    </w:rPr>
  </w:style>
  <w:style w:type="character" w:customStyle="1" w:styleId="16">
    <w:name w:val="批注主题 字符"/>
    <w:basedOn w:val="15"/>
    <w:link w:val="7"/>
    <w:uiPriority w:val="0"/>
    <w:rPr>
      <w:rFonts w:ascii="Arial" w:hAnsi="Arial" w:eastAsia="Arial" w:cs="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538e71a6-4c63-4f96-b350-ced3ac6dea1f</errorID>
      <errorWord>上海证券报 </errorWord>
      <group>L1_Punc</group>
      <groupName>标点问题</groupName>
      <ability>L2_Punc_CN</ability>
      <abilityName>标点符号问题</abilityName>
      <candidateList>
        <item>《上海证券报》•</item>
      </candidateList>
      <explain/>
      <paraID>59A601E2</paraID>
      <start>8</start>
      <end>14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C209D1-A8CC-4292-BE2B-7DCCA550BAB4}">
  <ds:schemaRefs/>
</ds:datastoreItem>
</file>

<file path=docProps/app.xml><?xml version="1.0" encoding="utf-8"?>
<Properties xmlns="http://schemas.openxmlformats.org/officeDocument/2006/extended-properties" xmlns:vt="http://schemas.openxmlformats.org/officeDocument/2006/docPropsVTypes">
  <Template>Normal</Template>
  <Pages>5</Pages>
  <Words>2733</Words>
  <Characters>2958</Characters>
  <Lines>96</Lines>
  <Paragraphs>57</Paragraphs>
  <TotalTime>44</TotalTime>
  <ScaleCrop>false</ScaleCrop>
  <LinksUpToDate>false</LinksUpToDate>
  <CharactersWithSpaces>3046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2026-05-11T09:11:00Z</dcterms:created>
  <dc:creator>雨婷 缪</dc:creator>
  <cp:lastModifiedBy>阚婉婉</cp:lastModifiedBy>
  <dcterms:modified xsi:type="dcterms:W3CDTF">2026-09-16T07:09:48Z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2026-05-18T12:07:42Z</vt:filetime>
  </property>
  <property fmtid="{D5CDD505-2E9C-101B-9397-08002B2CF9AE}" pid="4" name="KSOTemplateDocerSaveRecord">
    <vt:lpwstr>eyJoZGlkIjoiYmU0ZTY0OTA2YmNjOTg2ZGZmM2FhNGQwYmRhOGE5OGIiLCJ1c2VySWQiOiIzOTQzMzA2MDYifQ==</vt:lpwstr>
  </property>
  <property fmtid="{D5CDD505-2E9C-101B-9397-08002B2CF9AE}" pid="5" name="KSOProductBuildVer">
    <vt:lpwstr>2052-12.1.0.28505</vt:lpwstr>
  </property>
  <property fmtid="{D5CDD505-2E9C-101B-9397-08002B2CF9AE}" pid="6" name="ICV">
    <vt:lpwstr>70938B4B02984A24BEFA2692DE307142_13</vt:lpwstr>
  </property>
</Properties>
</file>