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C55B4">
      <w:pPr>
        <w:jc w:val="left"/>
        <w:rPr>
          <w:rFonts w:hint="eastAsia" w:ascii="宋体" w:hAnsi="宋体" w:cs="宋体"/>
          <w:bCs/>
          <w:iCs/>
          <w:color w:val="000000"/>
          <w:sz w:val="24"/>
        </w:rPr>
      </w:pPr>
      <w:r>
        <w:rPr>
          <w:rFonts w:hint="eastAsia" w:ascii="宋体" w:hAnsi="宋体" w:cs="宋体"/>
          <w:bCs/>
          <w:iCs/>
          <w:color w:val="000000"/>
          <w:sz w:val="24"/>
        </w:rPr>
        <w:t>证券代码：</w:t>
      </w:r>
      <w:r>
        <w:rPr>
          <w:bCs/>
          <w:iCs/>
          <w:color w:val="000000"/>
          <w:sz w:val="24"/>
        </w:rPr>
        <w:t>603390</w:t>
      </w:r>
      <w:r>
        <w:rPr>
          <w:rFonts w:hint="eastAsia" w:ascii="宋体" w:hAnsi="宋体" w:cs="宋体"/>
          <w:bCs/>
          <w:iCs/>
          <w:color w:val="000000"/>
          <w:sz w:val="24"/>
        </w:rPr>
        <w:t xml:space="preserve">                                  证券简称：通达电气</w:t>
      </w:r>
    </w:p>
    <w:p w14:paraId="1926562B">
      <w:pPr>
        <w:spacing w:before="468" w:beforeLines="150" w:after="156" w:afterLines="50" w:line="400" w:lineRule="exact"/>
        <w:jc w:val="center"/>
        <w:rPr>
          <w:rFonts w:hint="eastAsia" w:ascii="宋体" w:hAnsi="宋体" w:cs="宋体"/>
          <w:b/>
          <w:bCs/>
          <w:iCs/>
          <w:color w:val="000000"/>
          <w:sz w:val="32"/>
          <w:szCs w:val="32"/>
        </w:rPr>
      </w:pPr>
      <w:r>
        <w:rPr>
          <w:rFonts w:hint="eastAsia" w:ascii="宋体" w:hAnsi="宋体" w:cs="宋体"/>
          <w:b/>
          <w:bCs/>
          <w:iCs/>
          <w:color w:val="000000"/>
          <w:sz w:val="32"/>
          <w:szCs w:val="32"/>
        </w:rPr>
        <w:t>广州通达汽车电气股份有限公司</w:t>
      </w:r>
    </w:p>
    <w:p w14:paraId="4AA7D7AB">
      <w:pPr>
        <w:spacing w:before="156" w:beforeLines="50" w:after="468" w:afterLines="150" w:line="400" w:lineRule="exact"/>
        <w:jc w:val="center"/>
        <w:rPr>
          <w:rFonts w:hint="eastAsia" w:ascii="宋体" w:hAnsi="宋体" w:cs="宋体"/>
          <w:b/>
          <w:bCs/>
          <w:iCs/>
          <w:color w:val="000000"/>
          <w:sz w:val="32"/>
          <w:szCs w:val="32"/>
        </w:rPr>
      </w:pPr>
      <w:r>
        <w:rPr>
          <w:rFonts w:hint="eastAsia" w:ascii="宋体" w:hAnsi="宋体" w:cs="宋体"/>
          <w:b/>
          <w:bCs/>
          <w:iCs/>
          <w:color w:val="000000"/>
          <w:sz w:val="32"/>
          <w:szCs w:val="32"/>
        </w:rPr>
        <w:t>投资者关系活动记录表</w:t>
      </w:r>
    </w:p>
    <w:p w14:paraId="200A90A7">
      <w:pPr>
        <w:wordWrap w:val="0"/>
        <w:spacing w:line="400" w:lineRule="exact"/>
        <w:ind w:right="-57" w:rightChars="-27"/>
        <w:jc w:val="right"/>
        <w:rPr>
          <w:bCs/>
          <w:iCs/>
          <w:color w:val="000000"/>
          <w:highlight w:val="yellow"/>
        </w:rPr>
      </w:pPr>
      <w:bookmarkStart w:id="0" w:name="_GoBack"/>
      <w:bookmarkEnd w:id="0"/>
      <w:r>
        <w:rPr>
          <w:bCs/>
          <w:iCs/>
          <w:color w:val="000000"/>
        </w:rPr>
        <w:t>编号：</w:t>
      </w:r>
      <w:r>
        <w:rPr>
          <w:rFonts w:hint="eastAsia"/>
          <w:bCs/>
          <w:iCs/>
          <w:color w:val="000000"/>
        </w:rPr>
        <w:t>2026-002</w:t>
      </w:r>
    </w:p>
    <w:tbl>
      <w:tblPr>
        <w:tblStyle w:val="8"/>
        <w:tblW w:w="51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8"/>
        <w:gridCol w:w="6649"/>
      </w:tblGrid>
      <w:tr w14:paraId="0AF1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jc w:val="center"/>
        </w:trPr>
        <w:tc>
          <w:tcPr>
            <w:tcW w:w="1101" w:type="pct"/>
            <w:vAlign w:val="center"/>
          </w:tcPr>
          <w:p w14:paraId="5A3EA6ED">
            <w:pPr>
              <w:spacing w:line="480" w:lineRule="atLeast"/>
              <w:jc w:val="center"/>
              <w:rPr>
                <w:b/>
                <w:bCs/>
                <w:iCs/>
                <w:color w:val="000000"/>
                <w:sz w:val="24"/>
              </w:rPr>
            </w:pPr>
            <w:r>
              <w:rPr>
                <w:b/>
                <w:bCs/>
                <w:iCs/>
                <w:color w:val="000000"/>
                <w:sz w:val="24"/>
              </w:rPr>
              <w:t>投资者关系活动类别</w:t>
            </w:r>
          </w:p>
        </w:tc>
        <w:tc>
          <w:tcPr>
            <w:tcW w:w="3899" w:type="pct"/>
            <w:vAlign w:val="center"/>
          </w:tcPr>
          <w:p w14:paraId="704E9A45">
            <w:pPr>
              <w:spacing w:line="480" w:lineRule="atLeast"/>
              <w:ind w:firstLine="120" w:firstLineChars="50"/>
              <w:rPr>
                <w:sz w:val="24"/>
              </w:rPr>
            </w:pPr>
            <w:r>
              <w:rPr>
                <w:sz w:val="24"/>
              </w:rPr>
              <w:sym w:font="Wingdings 2" w:char="00A3"/>
            </w:r>
            <w:r>
              <w:rPr>
                <w:bCs/>
                <w:iCs/>
                <w:color w:val="000000"/>
                <w:sz w:val="24"/>
              </w:rPr>
              <w:t xml:space="preserve"> </w:t>
            </w:r>
            <w:r>
              <w:rPr>
                <w:sz w:val="24"/>
              </w:rPr>
              <w:t xml:space="preserve">特定对象调研   </w:t>
            </w:r>
            <w:r>
              <w:rPr>
                <w:sz w:val="24"/>
              </w:rPr>
              <w:sym w:font="Wingdings 2" w:char="00A3"/>
            </w:r>
            <w:r>
              <w:rPr>
                <w:sz w:val="24"/>
              </w:rPr>
              <w:t xml:space="preserve"> 分析师会议      </w:t>
            </w:r>
            <w:r>
              <w:rPr>
                <w:bCs/>
                <w:iCs/>
                <w:color w:val="000000"/>
                <w:sz w:val="24"/>
              </w:rPr>
              <w:sym w:font="Wingdings 2" w:char="00A3"/>
            </w:r>
            <w:r>
              <w:rPr>
                <w:bCs/>
                <w:iCs/>
                <w:color w:val="000000"/>
                <w:sz w:val="24"/>
              </w:rPr>
              <w:t xml:space="preserve"> </w:t>
            </w:r>
            <w:r>
              <w:rPr>
                <w:sz w:val="24"/>
              </w:rPr>
              <w:t xml:space="preserve">媒体采访   </w:t>
            </w:r>
          </w:p>
          <w:p w14:paraId="05E7722F">
            <w:pPr>
              <w:spacing w:line="480" w:lineRule="atLeast"/>
              <w:ind w:firstLine="120" w:firstLineChars="50"/>
              <w:rPr>
                <w:sz w:val="24"/>
              </w:rPr>
            </w:pPr>
            <w:r>
              <w:rPr>
                <w:rFonts w:hint="eastAsia"/>
                <w:sz w:val="24"/>
              </w:rPr>
              <w:t>□</w:t>
            </w:r>
            <w:r>
              <w:rPr>
                <w:sz w:val="24"/>
              </w:rPr>
              <w:t xml:space="preserve"> 业绩说明会     </w:t>
            </w:r>
            <w:r>
              <w:rPr>
                <w:bCs/>
                <w:iCs/>
                <w:color w:val="000000"/>
                <w:sz w:val="24"/>
              </w:rPr>
              <w:sym w:font="Wingdings 2" w:char="00A3"/>
            </w:r>
            <w:r>
              <w:rPr>
                <w:bCs/>
                <w:iCs/>
                <w:color w:val="000000"/>
                <w:sz w:val="24"/>
              </w:rPr>
              <w:t xml:space="preserve"> </w:t>
            </w:r>
            <w:r>
              <w:rPr>
                <w:sz w:val="24"/>
              </w:rPr>
              <w:t xml:space="preserve">新闻发布会      </w:t>
            </w:r>
            <w:r>
              <w:rPr>
                <w:bCs/>
                <w:iCs/>
                <w:color w:val="000000"/>
                <w:sz w:val="24"/>
              </w:rPr>
              <w:sym w:font="Wingdings 2" w:char="00A3"/>
            </w:r>
            <w:r>
              <w:rPr>
                <w:bCs/>
                <w:iCs/>
                <w:color w:val="000000"/>
                <w:sz w:val="24"/>
              </w:rPr>
              <w:t xml:space="preserve"> </w:t>
            </w:r>
            <w:r>
              <w:rPr>
                <w:sz w:val="24"/>
              </w:rPr>
              <w:t xml:space="preserve">路演活动    </w:t>
            </w:r>
          </w:p>
          <w:p w14:paraId="771B53CC">
            <w:pPr>
              <w:spacing w:line="480" w:lineRule="atLeast"/>
              <w:ind w:firstLine="120" w:firstLineChars="50"/>
              <w:rPr>
                <w:bCs/>
                <w:iCs/>
                <w:color w:val="000000"/>
                <w:sz w:val="24"/>
              </w:rPr>
            </w:pPr>
            <w:r>
              <w:rPr>
                <w:bCs/>
                <w:iCs/>
                <w:color w:val="000000"/>
                <w:sz w:val="24"/>
              </w:rPr>
              <w:sym w:font="Wingdings 2" w:char="00A3"/>
            </w:r>
            <w:r>
              <w:rPr>
                <w:bCs/>
                <w:iCs/>
                <w:color w:val="000000"/>
                <w:sz w:val="24"/>
              </w:rPr>
              <w:t xml:space="preserve"> </w:t>
            </w:r>
            <w:r>
              <w:rPr>
                <w:sz w:val="24"/>
              </w:rPr>
              <w:t xml:space="preserve">现场交流       </w:t>
            </w:r>
            <w:r>
              <w:rPr>
                <w:bCs/>
                <w:iCs/>
                <w:color w:val="000000"/>
                <w:sz w:val="24"/>
              </w:rPr>
              <w:sym w:font="Wingdings 2" w:char="00A3"/>
            </w:r>
            <w:r>
              <w:rPr>
                <w:bCs/>
                <w:iCs/>
                <w:color w:val="000000"/>
                <w:sz w:val="24"/>
              </w:rPr>
              <w:t xml:space="preserve"> </w:t>
            </w:r>
            <w:r>
              <w:rPr>
                <w:sz w:val="24"/>
              </w:rPr>
              <w:t xml:space="preserve">电话会议        </w:t>
            </w:r>
            <w:r>
              <w:rPr>
                <w:bCs/>
                <w:iCs/>
                <w:color w:val="000000"/>
                <w:sz w:val="24"/>
              </w:rPr>
              <w:sym w:font="Wingdings 2" w:char="0052"/>
            </w:r>
            <w:r>
              <w:rPr>
                <w:sz w:val="24"/>
              </w:rPr>
              <w:t xml:space="preserve"> 投资者交流会</w:t>
            </w:r>
          </w:p>
        </w:tc>
      </w:tr>
      <w:tr w14:paraId="59834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1101" w:type="pct"/>
            <w:vAlign w:val="center"/>
          </w:tcPr>
          <w:p w14:paraId="77311E0A">
            <w:pPr>
              <w:spacing w:line="480" w:lineRule="atLeast"/>
              <w:jc w:val="center"/>
              <w:rPr>
                <w:b/>
                <w:bCs/>
                <w:iCs/>
                <w:color w:val="000000"/>
                <w:sz w:val="24"/>
              </w:rPr>
            </w:pPr>
            <w:r>
              <w:rPr>
                <w:b/>
                <w:bCs/>
                <w:iCs/>
                <w:color w:val="000000"/>
                <w:sz w:val="24"/>
              </w:rPr>
              <w:t>参与单位及人员</w:t>
            </w:r>
          </w:p>
        </w:tc>
        <w:tc>
          <w:tcPr>
            <w:tcW w:w="3899" w:type="pct"/>
            <w:vAlign w:val="center"/>
          </w:tcPr>
          <w:p w14:paraId="2B3064FD">
            <w:pPr>
              <w:pStyle w:val="6"/>
              <w:widowControl/>
              <w:spacing w:before="156" w:beforeLines="50" w:beforeAutospacing="0" w:after="156" w:afterLines="50" w:afterAutospacing="0" w:line="400" w:lineRule="exact"/>
              <w:rPr>
                <w:rFonts w:eastAsia="宋体"/>
                <w:bCs/>
                <w:iCs/>
                <w:color w:val="000000"/>
              </w:rPr>
            </w:pPr>
            <w:r>
              <w:rPr>
                <w:rFonts w:eastAsia="宋体"/>
                <w:bCs/>
                <w:iCs/>
                <w:color w:val="000000"/>
              </w:rPr>
              <w:t>通过网络互动的方式参加</w:t>
            </w:r>
            <w:r>
              <w:rPr>
                <w:rFonts w:hint="eastAsia" w:eastAsia="宋体"/>
                <w:bCs/>
                <w:iCs/>
                <w:color w:val="000000"/>
              </w:rPr>
              <w:t>“</w:t>
            </w:r>
            <w:r>
              <w:rPr>
                <w:rFonts w:eastAsia="宋体"/>
                <w:bCs/>
                <w:iCs/>
                <w:color w:val="000000"/>
              </w:rPr>
              <w:t>2026年广东上市公司投资者集体接待日暨半年报业绩说明会</w:t>
            </w:r>
            <w:r>
              <w:rPr>
                <w:rFonts w:hint="eastAsia" w:eastAsia="宋体"/>
                <w:bCs/>
                <w:iCs/>
                <w:color w:val="000000"/>
              </w:rPr>
              <w:t>”活动</w:t>
            </w:r>
            <w:r>
              <w:rPr>
                <w:rFonts w:eastAsia="宋体"/>
                <w:bCs/>
                <w:iCs/>
                <w:color w:val="000000"/>
              </w:rPr>
              <w:t>的投资者</w:t>
            </w:r>
          </w:p>
        </w:tc>
      </w:tr>
      <w:tr w14:paraId="5CDC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101" w:type="pct"/>
            <w:vAlign w:val="center"/>
          </w:tcPr>
          <w:p w14:paraId="2C6D2DD9">
            <w:pPr>
              <w:spacing w:line="480" w:lineRule="atLeast"/>
              <w:jc w:val="center"/>
              <w:rPr>
                <w:b/>
                <w:bCs/>
                <w:iCs/>
                <w:color w:val="000000"/>
                <w:sz w:val="24"/>
              </w:rPr>
            </w:pPr>
            <w:r>
              <w:rPr>
                <w:b/>
                <w:bCs/>
                <w:iCs/>
                <w:color w:val="000000"/>
                <w:sz w:val="24"/>
              </w:rPr>
              <w:t>时间</w:t>
            </w:r>
          </w:p>
        </w:tc>
        <w:tc>
          <w:tcPr>
            <w:tcW w:w="3899" w:type="pct"/>
          </w:tcPr>
          <w:p w14:paraId="71BD6EF8">
            <w:pPr>
              <w:spacing w:line="480" w:lineRule="atLeast"/>
              <w:jc w:val="left"/>
              <w:rPr>
                <w:bCs/>
                <w:iCs/>
                <w:color w:val="000000"/>
                <w:sz w:val="24"/>
              </w:rPr>
            </w:pPr>
            <w:r>
              <w:rPr>
                <w:color w:val="000000"/>
                <w:kern w:val="0"/>
                <w:sz w:val="24"/>
                <w:szCs w:val="24"/>
              </w:rPr>
              <w:t>2026年9月15日下午15:30-17:00</w:t>
            </w:r>
          </w:p>
        </w:tc>
      </w:tr>
      <w:tr w14:paraId="3AAC9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101" w:type="pct"/>
            <w:vAlign w:val="center"/>
          </w:tcPr>
          <w:p w14:paraId="3FF6D04D">
            <w:pPr>
              <w:spacing w:line="480" w:lineRule="atLeast"/>
              <w:jc w:val="center"/>
              <w:rPr>
                <w:b/>
                <w:bCs/>
                <w:iCs/>
                <w:color w:val="000000"/>
                <w:sz w:val="24"/>
              </w:rPr>
            </w:pPr>
            <w:r>
              <w:rPr>
                <w:b/>
                <w:bCs/>
                <w:iCs/>
                <w:color w:val="000000"/>
                <w:sz w:val="24"/>
              </w:rPr>
              <w:t>地点</w:t>
            </w:r>
          </w:p>
        </w:tc>
        <w:tc>
          <w:tcPr>
            <w:tcW w:w="3899" w:type="pct"/>
          </w:tcPr>
          <w:p w14:paraId="305B797C">
            <w:pPr>
              <w:spacing w:line="480" w:lineRule="atLeast"/>
              <w:jc w:val="left"/>
              <w:rPr>
                <w:bCs/>
                <w:iCs/>
                <w:color w:val="000000"/>
                <w:sz w:val="24"/>
              </w:rPr>
            </w:pPr>
            <w:r>
              <w:rPr>
                <w:rFonts w:hint="eastAsia"/>
                <w:bCs/>
                <w:iCs/>
                <w:color w:val="000000"/>
                <w:sz w:val="24"/>
              </w:rPr>
              <w:t>“</w:t>
            </w:r>
            <w:r>
              <w:rPr>
                <w:bCs/>
                <w:iCs/>
                <w:color w:val="000000"/>
                <w:sz w:val="24"/>
              </w:rPr>
              <w:t>全景路演</w:t>
            </w:r>
            <w:r>
              <w:rPr>
                <w:rFonts w:hint="eastAsia"/>
                <w:bCs/>
                <w:iCs/>
                <w:color w:val="000000"/>
                <w:sz w:val="24"/>
              </w:rPr>
              <w:t>”</w:t>
            </w:r>
            <w:r>
              <w:rPr>
                <w:bCs/>
                <w:iCs/>
                <w:color w:val="000000"/>
                <w:sz w:val="24"/>
              </w:rPr>
              <w:t>网站（http://rs.p5w.net）</w:t>
            </w:r>
          </w:p>
        </w:tc>
      </w:tr>
      <w:tr w14:paraId="7F0F0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101" w:type="pct"/>
            <w:vAlign w:val="center"/>
          </w:tcPr>
          <w:p w14:paraId="1F33913C">
            <w:pPr>
              <w:spacing w:line="480" w:lineRule="atLeast"/>
              <w:jc w:val="center"/>
              <w:rPr>
                <w:b/>
                <w:bCs/>
                <w:iCs/>
                <w:color w:val="000000"/>
                <w:sz w:val="24"/>
              </w:rPr>
            </w:pPr>
            <w:r>
              <w:rPr>
                <w:b/>
                <w:bCs/>
                <w:iCs/>
                <w:color w:val="000000"/>
                <w:sz w:val="24"/>
              </w:rPr>
              <w:t>公司接待人员</w:t>
            </w:r>
          </w:p>
        </w:tc>
        <w:tc>
          <w:tcPr>
            <w:tcW w:w="3899" w:type="pct"/>
          </w:tcPr>
          <w:p w14:paraId="35377D0A">
            <w:pPr>
              <w:spacing w:line="480" w:lineRule="atLeast"/>
              <w:jc w:val="left"/>
              <w:rPr>
                <w:bCs/>
                <w:iCs/>
                <w:color w:val="000000"/>
                <w:sz w:val="24"/>
              </w:rPr>
            </w:pPr>
            <w:r>
              <w:rPr>
                <w:color w:val="000000"/>
                <w:kern w:val="0"/>
                <w:sz w:val="24"/>
              </w:rPr>
              <w:t>公司董事兼总经理蔡琳琳先生、董事会秘书黄璇女士以及财务总监吴淑妃女士及相关工作人员</w:t>
            </w:r>
          </w:p>
        </w:tc>
      </w:tr>
      <w:tr w14:paraId="0FEF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101" w:type="pct"/>
            <w:vAlign w:val="center"/>
          </w:tcPr>
          <w:p w14:paraId="047BBE7D">
            <w:pPr>
              <w:spacing w:line="480" w:lineRule="atLeast"/>
              <w:jc w:val="center"/>
              <w:rPr>
                <w:b/>
                <w:bCs/>
                <w:iCs/>
                <w:color w:val="000000"/>
                <w:sz w:val="24"/>
              </w:rPr>
            </w:pPr>
            <w:r>
              <w:rPr>
                <w:b/>
                <w:bCs/>
                <w:iCs/>
                <w:color w:val="000000"/>
                <w:sz w:val="24"/>
              </w:rPr>
              <w:t>投资者关系活动主要内容介绍</w:t>
            </w:r>
          </w:p>
        </w:tc>
        <w:tc>
          <w:tcPr>
            <w:tcW w:w="3899" w:type="pct"/>
          </w:tcPr>
          <w:p w14:paraId="711F2708">
            <w:pPr>
              <w:spacing w:line="360" w:lineRule="auto"/>
              <w:ind w:firstLine="480"/>
              <w:rPr>
                <w:sz w:val="24"/>
              </w:rPr>
            </w:pPr>
            <w:r>
              <w:rPr>
                <w:sz w:val="24"/>
              </w:rPr>
              <w:t>参与本次</w:t>
            </w:r>
            <w:r>
              <w:rPr>
                <w:rFonts w:hint="eastAsia"/>
                <w:sz w:val="24"/>
              </w:rPr>
              <w:t>活动</w:t>
            </w:r>
            <w:r>
              <w:rPr>
                <w:sz w:val="24"/>
              </w:rPr>
              <w:t>的公司接待人员，在法律、法规及规范性文件等相关规定允许的范围内就投资者关注的问题予以及时答复，不涉及应当披露的重大信息，公司就本次</w:t>
            </w:r>
            <w:r>
              <w:rPr>
                <w:rFonts w:hint="eastAsia"/>
                <w:sz w:val="24"/>
              </w:rPr>
              <w:t>活动</w:t>
            </w:r>
            <w:r>
              <w:rPr>
                <w:sz w:val="24"/>
              </w:rPr>
              <w:t>网络互动环节主要内容</w:t>
            </w:r>
            <w:r>
              <w:rPr>
                <w:rFonts w:hint="eastAsia"/>
                <w:sz w:val="24"/>
              </w:rPr>
              <w:t>整理</w:t>
            </w:r>
            <w:r>
              <w:rPr>
                <w:sz w:val="24"/>
              </w:rPr>
              <w:t>如下：</w:t>
            </w:r>
          </w:p>
          <w:p w14:paraId="04BA504E">
            <w:pPr>
              <w:spacing w:line="360" w:lineRule="auto"/>
              <w:ind w:firstLine="480"/>
              <w:rPr>
                <w:sz w:val="24"/>
              </w:rPr>
            </w:pPr>
            <w:r>
              <w:rPr>
                <w:sz w:val="24"/>
              </w:rPr>
              <w:t>1.贵司好，贵司的电子风扇市场故障率那么高，每年的售后服务费用好几百万，贵司有什么办法改善吗？贵司的质量管控能力有办法提高吗</w:t>
            </w:r>
            <w:r>
              <w:rPr>
                <w:rFonts w:hint="eastAsia"/>
                <w:sz w:val="24"/>
              </w:rPr>
              <w:t>？</w:t>
            </w:r>
          </w:p>
          <w:p w14:paraId="1883A599">
            <w:pPr>
              <w:spacing w:line="360" w:lineRule="auto"/>
              <w:ind w:firstLine="480"/>
              <w:rPr>
                <w:sz w:val="24"/>
              </w:rPr>
            </w:pPr>
            <w:r>
              <w:rPr>
                <w:sz w:val="24"/>
              </w:rPr>
              <w:t>答：感谢您的关注与提问！公司坚持贯彻ISO9001、IATF16949等质量管理体系、ISO14001环境管理体系和ISO45001职业健康安全管理体系，建立了健全的质量管理体系，并严格按照相关标准开发、生产产品，所有产品出厂前均经检验合格后安排出厂。根据公司统计和客户反馈，公司电子风扇市场故障率不存在高于市场同类产品或高故障率的情形。</w:t>
            </w:r>
          </w:p>
          <w:p w14:paraId="0EA88AB2">
            <w:pPr>
              <w:spacing w:line="360" w:lineRule="auto"/>
              <w:ind w:firstLine="480"/>
              <w:rPr>
                <w:sz w:val="24"/>
              </w:rPr>
            </w:pPr>
            <w:r>
              <w:rPr>
                <w:sz w:val="24"/>
              </w:rPr>
              <w:t>2.（1）中报整体净利润128.84%，但拆开看：Q1单季赚了6386万，Q2单季只剩876万，环比骤降、同比也-32.58%。为什么二季度断崖式走弱？是订单节奏、毛利率还是费用确认问题？下半年能否恢复Q1的水平？（2）上半年营收3.99亿，同比还下滑了5.28%，但利润翻倍</w:t>
            </w:r>
            <w:r>
              <w:rPr>
                <w:rFonts w:hint="eastAsia"/>
                <w:sz w:val="24"/>
              </w:rPr>
              <w:t>，</w:t>
            </w:r>
            <w:r>
              <w:rPr>
                <w:sz w:val="24"/>
              </w:rPr>
              <w:t>主要靠什么</w:t>
            </w:r>
            <w:r>
              <w:rPr>
                <w:rFonts w:hint="eastAsia"/>
                <w:sz w:val="24"/>
              </w:rPr>
              <w:t>，</w:t>
            </w:r>
            <w:r>
              <w:rPr>
                <w:sz w:val="24"/>
              </w:rPr>
              <w:t>毛利率</w:t>
            </w:r>
            <w:r>
              <w:rPr>
                <w:rFonts w:hint="eastAsia"/>
                <w:sz w:val="24"/>
              </w:rPr>
              <w:t>？</w:t>
            </w:r>
          </w:p>
          <w:p w14:paraId="237938CF">
            <w:pPr>
              <w:spacing w:line="360" w:lineRule="auto"/>
              <w:ind w:firstLine="480"/>
              <w:rPr>
                <w:sz w:val="24"/>
              </w:rPr>
            </w:pPr>
            <w:r>
              <w:rPr>
                <w:sz w:val="24"/>
              </w:rPr>
              <w:t>答：2026年第一季度，公司利润受当期营业收入增加，通过优化产品结构、持续提升产品技术水平，提高主要产品毛利率，以及收到软件产品增值税即征即退、定期存款产品获取利息收入增加等多种因素影响，2026年第二季度较第一季度收入下滑、收到软件产品增值税即征即退及定期存款产品获取利息收入同比减少，对第二季度利润产生影响。2026年上半年，公司收入有所下滑、利润同比增长的原因，主要为公司通过持续优化产品结构、提升产品技术水平，优化内部管理、降本增效，综合盈利能力增强；收到软件产品增值税即征即退、实施现金管理获取的利息收入增加，以及信用减值损失减少所致。</w:t>
            </w:r>
          </w:p>
          <w:p w14:paraId="31103B31">
            <w:pPr>
              <w:spacing w:line="360" w:lineRule="auto"/>
              <w:ind w:firstLine="480"/>
              <w:rPr>
                <w:sz w:val="24"/>
              </w:rPr>
            </w:pPr>
            <w:r>
              <w:rPr>
                <w:sz w:val="24"/>
              </w:rPr>
              <w:t>3.（1）新能源电机与热管理系统收入9617万、同比35.16%</w:t>
            </w:r>
            <w:r>
              <w:rPr>
                <w:rFonts w:hint="eastAsia"/>
                <w:sz w:val="24"/>
              </w:rPr>
              <w:t>，</w:t>
            </w:r>
            <w:r>
              <w:rPr>
                <w:sz w:val="24"/>
              </w:rPr>
              <w:t>是增长最快的业务。这块在手订单能见度到什么时候？占收入比重什么时候能到三成以上？（2）海外在新加坡、香港、秘鲁等市场已完成样品交付——从样品到量产订单大概需要多久？有没有已经确定的海外订单或框架协议？</w:t>
            </w:r>
          </w:p>
          <w:p w14:paraId="5C511B3C">
            <w:pPr>
              <w:spacing w:line="360" w:lineRule="auto"/>
              <w:ind w:firstLine="480"/>
              <w:rPr>
                <w:sz w:val="24"/>
              </w:rPr>
            </w:pPr>
            <w:r>
              <w:rPr>
                <w:sz w:val="24"/>
              </w:rPr>
              <w:t>答：感谢您的关注与提问！公司新能源汽车电机与热管理系统收入增长主要系受卡车电动化率持续提升，相关产品在卡车等领域应用取得成效等因素影响。市场需求存在一定的变化及不确定性，关于公司业绩情况请关注公司依法披露的相关定期报告或临时公告。</w:t>
            </w:r>
          </w:p>
          <w:p w14:paraId="6D1F9741">
            <w:pPr>
              <w:spacing w:line="360" w:lineRule="auto"/>
              <w:ind w:firstLine="480"/>
              <w:rPr>
                <w:sz w:val="24"/>
              </w:rPr>
            </w:pPr>
            <w:r>
              <w:rPr>
                <w:sz w:val="24"/>
              </w:rPr>
              <w:t>关于本次</w:t>
            </w:r>
            <w:r>
              <w:rPr>
                <w:rFonts w:hint="eastAsia"/>
                <w:sz w:val="24"/>
              </w:rPr>
              <w:t>活动</w:t>
            </w:r>
            <w:r>
              <w:rPr>
                <w:sz w:val="24"/>
              </w:rPr>
              <w:t>的具体情况，投资者可登录</w:t>
            </w:r>
            <w:r>
              <w:rPr>
                <w:rFonts w:hint="eastAsia"/>
                <w:sz w:val="24"/>
              </w:rPr>
              <w:t>“</w:t>
            </w:r>
            <w:r>
              <w:rPr>
                <w:sz w:val="24"/>
              </w:rPr>
              <w:t>全景路演</w:t>
            </w:r>
            <w:r>
              <w:rPr>
                <w:rFonts w:hint="eastAsia"/>
                <w:sz w:val="24"/>
              </w:rPr>
              <w:t>”</w:t>
            </w:r>
            <w:r>
              <w:rPr>
                <w:sz w:val="24"/>
              </w:rPr>
              <w:t>网站（http://rs.p5w.net）查看。</w:t>
            </w:r>
          </w:p>
        </w:tc>
      </w:tr>
      <w:tr w14:paraId="4592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101" w:type="pct"/>
          </w:tcPr>
          <w:p w14:paraId="32D0A633">
            <w:pPr>
              <w:spacing w:line="480" w:lineRule="atLeast"/>
              <w:jc w:val="center"/>
              <w:rPr>
                <w:b/>
                <w:bCs/>
                <w:iCs/>
                <w:color w:val="000000"/>
                <w:sz w:val="24"/>
              </w:rPr>
            </w:pPr>
            <w:r>
              <w:rPr>
                <w:b/>
                <w:bCs/>
                <w:iCs/>
                <w:color w:val="000000"/>
                <w:sz w:val="24"/>
              </w:rPr>
              <w:t>整理日期</w:t>
            </w:r>
          </w:p>
        </w:tc>
        <w:tc>
          <w:tcPr>
            <w:tcW w:w="3899" w:type="pct"/>
          </w:tcPr>
          <w:p w14:paraId="699BC78B">
            <w:pPr>
              <w:spacing w:line="480" w:lineRule="atLeast"/>
              <w:jc w:val="left"/>
              <w:rPr>
                <w:bCs/>
                <w:iCs/>
                <w:color w:val="000000"/>
                <w:sz w:val="24"/>
              </w:rPr>
            </w:pPr>
            <w:r>
              <w:rPr>
                <w:bCs/>
                <w:iCs/>
                <w:color w:val="000000"/>
                <w:sz w:val="24"/>
              </w:rPr>
              <w:t>2026年9月16日</w:t>
            </w:r>
          </w:p>
        </w:tc>
      </w:tr>
    </w:tbl>
    <w:p w14:paraId="78916204"/>
    <w:p w14:paraId="0D87C2F0"/>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FDFF3">
    <w:pPr>
      <w:pStyle w:val="4"/>
      <w:jc w:val="center"/>
    </w:pPr>
    <w:r>
      <w:fldChar w:fldCharType="begin"/>
    </w:r>
    <w:r>
      <w:instrText xml:space="preserve"> PAGE   \* MERGEFORMAT </w:instrText>
    </w:r>
    <w:r>
      <w:fldChar w:fldCharType="separate"/>
    </w:r>
    <w: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M0NmUwNjYxMWZjZDhjNGVlZGMwMTI5ZDRjNDg2NWMifQ=="/>
  </w:docVars>
  <w:rsids>
    <w:rsidRoot w:val="00424937"/>
    <w:rsid w:val="000660FD"/>
    <w:rsid w:val="000C72F5"/>
    <w:rsid w:val="001135BD"/>
    <w:rsid w:val="00114922"/>
    <w:rsid w:val="00140D2A"/>
    <w:rsid w:val="00160351"/>
    <w:rsid w:val="00167E28"/>
    <w:rsid w:val="00181C7C"/>
    <w:rsid w:val="001B129E"/>
    <w:rsid w:val="001E0A8C"/>
    <w:rsid w:val="001F37D2"/>
    <w:rsid w:val="00237A3A"/>
    <w:rsid w:val="002440FF"/>
    <w:rsid w:val="0026467F"/>
    <w:rsid w:val="00286794"/>
    <w:rsid w:val="00286C53"/>
    <w:rsid w:val="002B4A6A"/>
    <w:rsid w:val="002E3833"/>
    <w:rsid w:val="002F6020"/>
    <w:rsid w:val="0030290D"/>
    <w:rsid w:val="003504C4"/>
    <w:rsid w:val="00370C7E"/>
    <w:rsid w:val="003F6125"/>
    <w:rsid w:val="004052EF"/>
    <w:rsid w:val="00406179"/>
    <w:rsid w:val="00424937"/>
    <w:rsid w:val="00443C06"/>
    <w:rsid w:val="00447659"/>
    <w:rsid w:val="00463D24"/>
    <w:rsid w:val="004850AB"/>
    <w:rsid w:val="00490553"/>
    <w:rsid w:val="004A0DA9"/>
    <w:rsid w:val="00570F02"/>
    <w:rsid w:val="005B5046"/>
    <w:rsid w:val="005C0DED"/>
    <w:rsid w:val="005E3475"/>
    <w:rsid w:val="005F2A72"/>
    <w:rsid w:val="005F4A9C"/>
    <w:rsid w:val="00617C46"/>
    <w:rsid w:val="00632158"/>
    <w:rsid w:val="006375B6"/>
    <w:rsid w:val="00663B14"/>
    <w:rsid w:val="00670690"/>
    <w:rsid w:val="00687F8F"/>
    <w:rsid w:val="006D1375"/>
    <w:rsid w:val="00717434"/>
    <w:rsid w:val="007500AE"/>
    <w:rsid w:val="00780188"/>
    <w:rsid w:val="0078630A"/>
    <w:rsid w:val="00790597"/>
    <w:rsid w:val="007A5969"/>
    <w:rsid w:val="008311DB"/>
    <w:rsid w:val="00865725"/>
    <w:rsid w:val="008A0F4B"/>
    <w:rsid w:val="008A3F32"/>
    <w:rsid w:val="008C04F9"/>
    <w:rsid w:val="009210AE"/>
    <w:rsid w:val="00977B41"/>
    <w:rsid w:val="00995962"/>
    <w:rsid w:val="009E1E42"/>
    <w:rsid w:val="00A008A9"/>
    <w:rsid w:val="00A54167"/>
    <w:rsid w:val="00AB2F2D"/>
    <w:rsid w:val="00AB5D82"/>
    <w:rsid w:val="00AC14A4"/>
    <w:rsid w:val="00AC1EB0"/>
    <w:rsid w:val="00B63E26"/>
    <w:rsid w:val="00B77146"/>
    <w:rsid w:val="00B800FD"/>
    <w:rsid w:val="00BA25AC"/>
    <w:rsid w:val="00BA30C2"/>
    <w:rsid w:val="00BD03F8"/>
    <w:rsid w:val="00BD6F4C"/>
    <w:rsid w:val="00BE7893"/>
    <w:rsid w:val="00CE0CC9"/>
    <w:rsid w:val="00D07144"/>
    <w:rsid w:val="00D23168"/>
    <w:rsid w:val="00D34A4F"/>
    <w:rsid w:val="00DF5BE3"/>
    <w:rsid w:val="00E01BCB"/>
    <w:rsid w:val="00E46B4A"/>
    <w:rsid w:val="00E5655F"/>
    <w:rsid w:val="00EC103B"/>
    <w:rsid w:val="00ED079F"/>
    <w:rsid w:val="00EF2611"/>
    <w:rsid w:val="00F90B3D"/>
    <w:rsid w:val="00FC6099"/>
    <w:rsid w:val="00FF21D6"/>
    <w:rsid w:val="03455B52"/>
    <w:rsid w:val="0473244E"/>
    <w:rsid w:val="04DE114C"/>
    <w:rsid w:val="0657008A"/>
    <w:rsid w:val="07C74BE3"/>
    <w:rsid w:val="0A2A7085"/>
    <w:rsid w:val="0DAE0BA6"/>
    <w:rsid w:val="0F6C2C3F"/>
    <w:rsid w:val="119A16E8"/>
    <w:rsid w:val="12FD55B7"/>
    <w:rsid w:val="13CF7127"/>
    <w:rsid w:val="14F93B44"/>
    <w:rsid w:val="1BC7164B"/>
    <w:rsid w:val="1CAE153A"/>
    <w:rsid w:val="1F7F3994"/>
    <w:rsid w:val="1FE70A75"/>
    <w:rsid w:val="201B5C14"/>
    <w:rsid w:val="21DF022A"/>
    <w:rsid w:val="235F235F"/>
    <w:rsid w:val="23723B40"/>
    <w:rsid w:val="244D2EBD"/>
    <w:rsid w:val="28150BBD"/>
    <w:rsid w:val="2B353E5D"/>
    <w:rsid w:val="2EA0798E"/>
    <w:rsid w:val="30B30E24"/>
    <w:rsid w:val="371A716A"/>
    <w:rsid w:val="38083610"/>
    <w:rsid w:val="3C0A11D2"/>
    <w:rsid w:val="3F2F33A4"/>
    <w:rsid w:val="3FC52CB9"/>
    <w:rsid w:val="40BE01CA"/>
    <w:rsid w:val="439125FD"/>
    <w:rsid w:val="451078BA"/>
    <w:rsid w:val="485C1EAF"/>
    <w:rsid w:val="48644951"/>
    <w:rsid w:val="48E7672C"/>
    <w:rsid w:val="48F01CCF"/>
    <w:rsid w:val="4AAB55FC"/>
    <w:rsid w:val="4B2D736B"/>
    <w:rsid w:val="4E0D48F5"/>
    <w:rsid w:val="4E732176"/>
    <w:rsid w:val="5C4165AA"/>
    <w:rsid w:val="5C823B46"/>
    <w:rsid w:val="5EE671F7"/>
    <w:rsid w:val="6E4B1546"/>
    <w:rsid w:val="6F0C44C5"/>
    <w:rsid w:val="74551537"/>
    <w:rsid w:val="78174AB4"/>
    <w:rsid w:val="79675312"/>
    <w:rsid w:val="79A75717"/>
    <w:rsid w:val="7AE25EE5"/>
    <w:rsid w:val="7CBF2237"/>
    <w:rsid w:val="7DD40F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rPr>
      <w:rFonts w:eastAsia="等线"/>
      <w:szCs w:val="24"/>
    </w:rPr>
  </w:style>
  <w:style w:type="paragraph" w:styleId="3">
    <w:name w:val="Balloon Text"/>
    <w:basedOn w:val="1"/>
    <w:link w:val="14"/>
    <w:semiHidden/>
    <w:unhideWhenUsed/>
    <w:qFormat/>
    <w:uiPriority w:val="99"/>
    <w:rPr>
      <w:rFonts w:eastAsia="等线"/>
      <w:sz w:val="18"/>
      <w:szCs w:val="18"/>
    </w:rPr>
  </w:style>
  <w:style w:type="paragraph" w:styleId="4">
    <w:name w:val="footer"/>
    <w:basedOn w:val="1"/>
    <w:link w:val="12"/>
    <w:unhideWhenUsed/>
    <w:qFormat/>
    <w:uiPriority w:val="99"/>
    <w:pPr>
      <w:tabs>
        <w:tab w:val="center" w:pos="4153"/>
        <w:tab w:val="right" w:pos="8306"/>
      </w:tabs>
      <w:snapToGrid w:val="0"/>
      <w:jc w:val="left"/>
    </w:pPr>
    <w:rPr>
      <w:kern w:val="0"/>
      <w:sz w:val="18"/>
      <w:szCs w:val="18"/>
      <w:lang w:val="zh-CN"/>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rFonts w:eastAsia="等线"/>
      <w:sz w:val="18"/>
      <w:szCs w:val="18"/>
    </w:rPr>
  </w:style>
  <w:style w:type="paragraph" w:styleId="6">
    <w:name w:val="Normal (Web)"/>
    <w:basedOn w:val="1"/>
    <w:unhideWhenUsed/>
    <w:qFormat/>
    <w:uiPriority w:val="99"/>
    <w:pPr>
      <w:spacing w:beforeAutospacing="1" w:afterAutospacing="1"/>
      <w:jc w:val="left"/>
    </w:pPr>
    <w:rPr>
      <w:rFonts w:eastAsia="等线"/>
      <w:kern w:val="0"/>
      <w:sz w:val="24"/>
      <w:szCs w:val="24"/>
    </w:rPr>
  </w:style>
  <w:style w:type="paragraph" w:styleId="7">
    <w:name w:val="annotation subject"/>
    <w:basedOn w:val="2"/>
    <w:next w:val="2"/>
    <w:link w:val="16"/>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脚 字符"/>
    <w:basedOn w:val="9"/>
    <w:semiHidden/>
    <w:qFormat/>
    <w:uiPriority w:val="99"/>
    <w:rPr>
      <w:rFonts w:ascii="Times New Roman" w:hAnsi="Times New Roman" w:eastAsia="等线" w:cs="Times New Roman"/>
      <w:sz w:val="18"/>
      <w:szCs w:val="18"/>
    </w:rPr>
  </w:style>
  <w:style w:type="character" w:customStyle="1" w:styleId="12">
    <w:name w:val="页脚 字符1"/>
    <w:link w:val="4"/>
    <w:qFormat/>
    <w:uiPriority w:val="99"/>
    <w:rPr>
      <w:rFonts w:ascii="Times New Roman" w:hAnsi="Times New Roman" w:eastAsia="宋体" w:cs="Times New Roman"/>
      <w:kern w:val="0"/>
      <w:sz w:val="18"/>
      <w:szCs w:val="18"/>
      <w:lang w:val="zh-CN" w:eastAsia="zh-CN"/>
    </w:rPr>
  </w:style>
  <w:style w:type="character" w:customStyle="1" w:styleId="13">
    <w:name w:val="页眉 字符"/>
    <w:basedOn w:val="9"/>
    <w:link w:val="5"/>
    <w:qFormat/>
    <w:uiPriority w:val="99"/>
    <w:rPr>
      <w:rFonts w:eastAsia="等线"/>
      <w:kern w:val="2"/>
      <w:sz w:val="18"/>
      <w:szCs w:val="18"/>
    </w:rPr>
  </w:style>
  <w:style w:type="character" w:customStyle="1" w:styleId="14">
    <w:name w:val="批注框文本 字符"/>
    <w:basedOn w:val="9"/>
    <w:link w:val="3"/>
    <w:semiHidden/>
    <w:qFormat/>
    <w:uiPriority w:val="99"/>
    <w:rPr>
      <w:rFonts w:eastAsia="等线"/>
      <w:kern w:val="2"/>
      <w:sz w:val="18"/>
      <w:szCs w:val="18"/>
    </w:rPr>
  </w:style>
  <w:style w:type="character" w:customStyle="1" w:styleId="15">
    <w:name w:val="批注文字 字符"/>
    <w:basedOn w:val="9"/>
    <w:link w:val="2"/>
    <w:semiHidden/>
    <w:qFormat/>
    <w:uiPriority w:val="99"/>
    <w:rPr>
      <w:rFonts w:eastAsia="等线"/>
      <w:kern w:val="2"/>
      <w:sz w:val="21"/>
      <w:szCs w:val="24"/>
    </w:rPr>
  </w:style>
  <w:style w:type="character" w:customStyle="1" w:styleId="16">
    <w:name w:val="批注主题 字符"/>
    <w:basedOn w:val="15"/>
    <w:link w:val="7"/>
    <w:semiHidden/>
    <w:qFormat/>
    <w:uiPriority w:val="99"/>
    <w:rPr>
      <w:rFonts w:eastAsia="等线"/>
      <w:b/>
      <w:bCs/>
      <w:kern w:val="2"/>
      <w:sz w:val="21"/>
      <w:szCs w:val="24"/>
    </w:rPr>
  </w:style>
  <w:style w:type="paragraph" w:customStyle="1" w:styleId="17">
    <w:name w:val="修订1"/>
    <w:hidden/>
    <w:unhideWhenUsed/>
    <w:qFormat/>
    <w:uiPriority w:val="99"/>
    <w:rPr>
      <w:rFonts w:ascii="Times New Roman" w:hAnsi="Times New Roman" w:eastAsia="等线" w:cs="Times New Roman"/>
      <w:kern w:val="2"/>
      <w:sz w:val="21"/>
      <w:szCs w:val="24"/>
      <w:lang w:val="en-US" w:eastAsia="zh-CN" w:bidi="ar-SA"/>
    </w:rPr>
  </w:style>
  <w:style w:type="paragraph" w:customStyle="1" w:styleId="18">
    <w:name w:val="修订2"/>
    <w:hidden/>
    <w:unhideWhenUsed/>
    <w:qFormat/>
    <w:uiPriority w:val="99"/>
    <w:rPr>
      <w:rFonts w:ascii="Times New Roman" w:hAnsi="Times New Roman" w:eastAsia="宋体" w:cs="Times New Roman"/>
      <w:kern w:val="2"/>
      <w:sz w:val="21"/>
      <w:szCs w:val="21"/>
      <w:lang w:val="en-US" w:eastAsia="zh-CN" w:bidi="ar-SA"/>
    </w:rPr>
  </w:style>
  <w:style w:type="paragraph" w:customStyle="1" w:styleId="19">
    <w:name w:val="Revision"/>
    <w:hidden/>
    <w:unhideWhenUsed/>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eb8637c9-36b9-4dfb-be45-885e492fe05e</errorID>
      <errorWord>下午15:30</errorWord>
      <group>L1_Knowledge</group>
      <groupName>知识性问题</groupName>
      <ability>L2_Time</ability>
      <abilityName>日期时间</abilityName>
      <candidateList>
        <item>15:30</item>
      </candidateList>
      <explain>24小时制的时间，不需要强调“下午”。</explain>
      <paraID>71BD6EF8</paraID>
      <start>10</start>
      <end>17</end>
      <status>ignored</status>
      <modifiedWord/>
      <trackRevisions>false</trackRevisions>
    </reviewItem>
    <reviewItem>
      <errorID>444914e0-71a7-4308-9b0d-f4443c16b2be</errorID>
      <errorWord>收到</errorWord>
      <group>L1_Word</group>
      <groupName>字词问题</groupName>
      <ability>L2_Typo</ability>
      <abilityName>字词错误</abilityName>
      <candidateList>
        <item>受到</item>
      </candidateList>
      <explain/>
      <paraID>237938CF</paraID>
      <start>58</start>
      <end>60</end>
      <status>ignored</status>
      <modifiedWord/>
      <trackRevisions>false</trackRevisions>
    </reviewItem>
    <reviewItem>
      <errorID>8562d17c-46fd-48c1-af07-5324fc2d775e</errorID>
      <errorWord>香港</errorWord>
      <group>L1_Political</group>
      <groupName>政治性问题</groupName>
      <ability>L2_Unpolitical</ability>
      <abilityName>政治敏感错误</abilityName>
      <candidateList>
        <item>中国香港</item>
      </candidateList>
      <explain>在与其他国家名称连用时，“香港”“澳门”“台湾”的书写格式为“中国香港”“中国澳门”“中国台湾”。</explain>
      <paraID>31103B31</paraID>
      <start>83</start>
      <end>85</end>
      <status>ignored</status>
      <modifiedWord/>
      <trackRevisions>false</trackRevisions>
    </reviewItem>
  </reviewItems>
  <config/>
</contractReview>
</file>

<file path=customXml/itemProps1.xml><?xml version="1.0" encoding="utf-8"?>
<ds:datastoreItem xmlns:ds="http://schemas.openxmlformats.org/officeDocument/2006/customXml" ds:itemID="{DD43775B-CD7E-4AF9-9A6D-3D86D19CF296}">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2</Pages>
  <Words>1198</Words>
  <Characters>1339</Characters>
  <Lines>13</Lines>
  <Paragraphs>29</Paragraphs>
  <TotalTime>36</TotalTime>
  <ScaleCrop>false</ScaleCrop>
  <LinksUpToDate>false</LinksUpToDate>
  <CharactersWithSpaces>1424</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2026-09-16T07:03:00Z</dcterms:created>
  <dc:creator>shalldo-zzhou</dc:creator>
  <cp:lastModifiedBy>Lyq</cp:lastModifiedBy>
  <cp:lastPrinted>2024-06-27T13:32:00Z</cp:lastPrinted>
  <dcterms:modified xsi:type="dcterms:W3CDTF">2026-09-16T08:19:25Z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529DB0A0E2F744608AAF74C698E3FE0B_13</vt:lpwstr>
  </property>
  <property fmtid="{D5CDD505-2E9C-101B-9397-08002B2CF9AE}" pid="4" name="KSOTemplateDocerSaveRecord">
    <vt:lpwstr>eyJoZGlkIjoiNTdmYzVkMDdjOTgxZTU5YzI4YTc0ZWUxNjg0MTJmNTMiLCJ1c2VySWQiOiI1NDE3MzU4NzkifQ==</vt:lpwstr>
  </property>
</Properties>
</file>