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default" w:ascii="宋体" w:hAnsi="宋体" w:eastAsia="宋体" w:cs="宋体"/>
          <w:sz w:val="20"/>
          <w:szCs w:val="20"/>
          <w:lang w:val="en-US" w:eastAsia="zh-CN"/>
        </w:rPr>
      </w:pPr>
      <w:r>
        <w:rPr>
          <w:rFonts w:hint="eastAsia" w:ascii="宋体" w:hAnsi="宋体" w:eastAsia="宋体" w:cs="宋体"/>
          <w:sz w:val="20"/>
          <w:szCs w:val="20"/>
          <w:lang w:val="en-US"/>
        </w:rPr>
        <w:t>证券代码：</w:t>
      </w:r>
      <w:r>
        <w:rPr>
          <w:rFonts w:hint="eastAsia" w:ascii="宋体" w:hAnsi="宋体" w:eastAsia="宋体" w:cs="宋体"/>
          <w:sz w:val="20"/>
          <w:szCs w:val="20"/>
          <w:lang w:val="en-US" w:eastAsia="zh-CN"/>
        </w:rPr>
        <w:t>603033</w:t>
      </w:r>
      <w:r>
        <w:rPr>
          <w:rFonts w:hint="eastAsia" w:ascii="宋体" w:hAnsi="宋体" w:eastAsia="宋体" w:cs="宋体"/>
          <w:sz w:val="20"/>
          <w:szCs w:val="20"/>
          <w:lang w:val="en-US"/>
        </w:rPr>
        <w:t xml:space="preserve">   </w:t>
      </w:r>
      <w:r>
        <w:rPr>
          <w:rFonts w:hint="eastAsia" w:ascii="宋体" w:hAnsi="宋体" w:eastAsia="宋体" w:cs="宋体"/>
          <w:sz w:val="21"/>
          <w:szCs w:val="21"/>
          <w:lang w:val="en-US"/>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0"/>
          <w:szCs w:val="20"/>
          <w:lang w:val="en-US"/>
        </w:rPr>
        <w:t>证券简称：</w:t>
      </w:r>
      <w:r>
        <w:rPr>
          <w:rFonts w:hint="eastAsia" w:ascii="宋体" w:hAnsi="宋体" w:eastAsia="宋体" w:cs="宋体"/>
          <w:sz w:val="20"/>
          <w:szCs w:val="20"/>
          <w:lang w:val="en-US" w:eastAsia="zh-CN"/>
        </w:rPr>
        <w:t>三维股份</w:t>
      </w:r>
    </w:p>
    <w:p>
      <w:pPr>
        <w:spacing w:line="360" w:lineRule="auto"/>
        <w:jc w:val="center"/>
        <w:rPr>
          <w:rFonts w:ascii="宋体" w:hAnsi="宋体" w:eastAsia="宋体" w:cs="宋体"/>
          <w:b/>
          <w:bCs/>
          <w:sz w:val="44"/>
          <w:szCs w:val="44"/>
        </w:rPr>
      </w:pPr>
    </w:p>
    <w:p>
      <w:pPr>
        <w:spacing w:line="360" w:lineRule="auto"/>
        <w:jc w:val="center"/>
        <w:rPr>
          <w:rFonts w:ascii="宋体" w:hAnsi="宋体" w:eastAsia="宋体" w:cs="宋体"/>
          <w:b/>
          <w:bCs/>
          <w:sz w:val="44"/>
          <w:szCs w:val="44"/>
        </w:rPr>
      </w:pPr>
      <w:r>
        <w:rPr>
          <w:rFonts w:hint="eastAsia" w:ascii="宋体" w:hAnsi="宋体" w:eastAsia="宋体" w:cs="宋体"/>
          <w:b/>
          <w:bCs/>
          <w:sz w:val="44"/>
          <w:szCs w:val="44"/>
        </w:rPr>
        <w:t>三维控股集团股份有限公司</w:t>
      </w:r>
    </w:p>
    <w:p>
      <w:pPr>
        <w:spacing w:line="360" w:lineRule="auto"/>
        <w:jc w:val="center"/>
        <w:rPr>
          <w:rFonts w:ascii="宋体" w:hAnsi="宋体" w:eastAsia="宋体" w:cs="宋体"/>
          <w:sz w:val="44"/>
          <w:szCs w:val="44"/>
        </w:rPr>
      </w:pPr>
      <w:r>
        <w:rPr>
          <w:rFonts w:hint="eastAsia" w:ascii="宋体" w:hAnsi="宋体" w:eastAsia="宋体" w:cs="宋体"/>
          <w:b/>
          <w:bCs/>
          <w:sz w:val="44"/>
          <w:szCs w:val="44"/>
        </w:rPr>
        <w:t>投资者关系活动记录表</w:t>
      </w:r>
    </w:p>
    <w:tbl>
      <w:tblPr>
        <w:tblStyle w:val="11"/>
        <w:tblW w:w="888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2580"/>
        <w:gridCol w:w="63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Ex>
        <w:trPr>
          <w:trHeight w:val="2801" w:hRule="atLeast"/>
          <w:jc w:val="center"/>
        </w:trPr>
        <w:tc>
          <w:tcPr>
            <w:tcW w:w="2580" w:type="dxa"/>
          </w:tcPr>
          <w:p>
            <w:pPr>
              <w:pStyle w:val="12"/>
              <w:spacing w:before="7"/>
              <w:rPr>
                <w:rFonts w:ascii="宋体" w:hAnsi="宋体" w:eastAsia="宋体" w:cs="宋体"/>
                <w:b/>
                <w:bCs/>
                <w:sz w:val="20"/>
                <w:szCs w:val="20"/>
              </w:rPr>
            </w:pPr>
          </w:p>
          <w:p>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投资者关系活动类别</w:t>
            </w:r>
          </w:p>
        </w:tc>
        <w:tc>
          <w:tcPr>
            <w:tcW w:w="6308" w:type="dxa"/>
          </w:tcPr>
          <w:p>
            <w:pPr>
              <w:pStyle w:val="12"/>
              <w:spacing w:before="7"/>
              <w:rPr>
                <w:rFonts w:ascii="宋体" w:hAnsi="宋体" w:eastAsia="宋体" w:cs="宋体"/>
                <w:sz w:val="20"/>
                <w:szCs w:val="20"/>
              </w:rPr>
            </w:pPr>
          </w:p>
          <w:p>
            <w:pPr>
              <w:pStyle w:val="12"/>
              <w:tabs>
                <w:tab w:val="left" w:pos="2418"/>
              </w:tabs>
              <w:spacing w:before="1"/>
              <w:ind w:left="107"/>
              <w:rPr>
                <w:rFonts w:ascii="宋体" w:hAnsi="宋体" w:eastAsia="宋体" w:cs="宋体"/>
                <w:sz w:val="20"/>
                <w:szCs w:val="20"/>
              </w:rPr>
            </w:pPr>
            <w:sdt>
              <w:sdtPr>
                <w:rPr>
                  <w:rFonts w:hint="eastAsia" w:ascii="宋体" w:hAnsi="宋体" w:eastAsia="宋体" w:cs="宋体"/>
                  <w:sz w:val="20"/>
                  <w:szCs w:val="20"/>
                </w:rPr>
                <w:id w:val="249780449"/>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特</w:t>
            </w:r>
            <w:r>
              <w:rPr>
                <w:rFonts w:hint="eastAsia" w:ascii="宋体" w:hAnsi="宋体" w:eastAsia="宋体" w:cs="宋体"/>
                <w:spacing w:val="-3"/>
                <w:sz w:val="20"/>
                <w:szCs w:val="20"/>
              </w:rPr>
              <w:t>定</w:t>
            </w:r>
            <w:r>
              <w:rPr>
                <w:rFonts w:hint="eastAsia" w:ascii="宋体" w:hAnsi="宋体" w:eastAsia="宋体" w:cs="宋体"/>
                <w:sz w:val="20"/>
                <w:szCs w:val="20"/>
              </w:rPr>
              <w:t>对</w:t>
            </w:r>
            <w:r>
              <w:rPr>
                <w:rFonts w:hint="eastAsia" w:ascii="宋体" w:hAnsi="宋体" w:eastAsia="宋体" w:cs="宋体"/>
                <w:spacing w:val="-3"/>
                <w:sz w:val="20"/>
                <w:szCs w:val="20"/>
              </w:rPr>
              <w:t>象</w:t>
            </w:r>
            <w:r>
              <w:rPr>
                <w:rFonts w:hint="eastAsia" w:ascii="宋体" w:hAnsi="宋体" w:eastAsia="宋体" w:cs="宋体"/>
                <w:sz w:val="20"/>
                <w:szCs w:val="20"/>
              </w:rPr>
              <w:t>调研</w:t>
            </w:r>
            <w:r>
              <w:rPr>
                <w:rFonts w:hint="eastAsia" w:ascii="宋体" w:hAnsi="宋体" w:eastAsia="宋体" w:cs="宋体"/>
                <w:sz w:val="20"/>
                <w:szCs w:val="20"/>
              </w:rPr>
              <w:tab/>
            </w:r>
            <w:sdt>
              <w:sdtPr>
                <w:rPr>
                  <w:rFonts w:hint="eastAsia" w:ascii="宋体" w:hAnsi="宋体" w:eastAsia="宋体" w:cs="宋体"/>
                  <w:sz w:val="20"/>
                  <w:szCs w:val="20"/>
                </w:rPr>
                <w:id w:val="-416875725"/>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分</w:t>
            </w:r>
            <w:r>
              <w:rPr>
                <w:rFonts w:hint="eastAsia" w:ascii="宋体" w:hAnsi="宋体" w:eastAsia="宋体" w:cs="宋体"/>
                <w:spacing w:val="-3"/>
                <w:sz w:val="20"/>
                <w:szCs w:val="20"/>
              </w:rPr>
              <w:t>析</w:t>
            </w:r>
            <w:r>
              <w:rPr>
                <w:rFonts w:hint="eastAsia" w:ascii="宋体" w:hAnsi="宋体" w:eastAsia="宋体" w:cs="宋体"/>
                <w:sz w:val="20"/>
                <w:szCs w:val="20"/>
              </w:rPr>
              <w:t>师</w:t>
            </w:r>
            <w:r>
              <w:rPr>
                <w:rFonts w:hint="eastAsia" w:ascii="宋体" w:hAnsi="宋体" w:eastAsia="宋体" w:cs="宋体"/>
                <w:spacing w:val="-3"/>
                <w:sz w:val="20"/>
                <w:szCs w:val="20"/>
              </w:rPr>
              <w:t>会</w:t>
            </w:r>
            <w:r>
              <w:rPr>
                <w:rFonts w:hint="eastAsia" w:ascii="宋体" w:hAnsi="宋体" w:eastAsia="宋体" w:cs="宋体"/>
                <w:sz w:val="20"/>
                <w:szCs w:val="20"/>
              </w:rPr>
              <w:t>议</w:t>
            </w:r>
          </w:p>
          <w:p>
            <w:pPr>
              <w:pStyle w:val="12"/>
              <w:spacing w:before="11"/>
              <w:rPr>
                <w:rFonts w:ascii="宋体" w:hAnsi="宋体" w:eastAsia="宋体" w:cs="宋体"/>
                <w:sz w:val="20"/>
                <w:szCs w:val="20"/>
              </w:rPr>
            </w:pPr>
          </w:p>
          <w:p>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20690601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媒</w:t>
            </w:r>
            <w:r>
              <w:rPr>
                <w:rFonts w:hint="eastAsia" w:ascii="宋体" w:hAnsi="宋体" w:eastAsia="宋体" w:cs="宋体"/>
                <w:spacing w:val="-3"/>
                <w:sz w:val="20"/>
                <w:szCs w:val="20"/>
              </w:rPr>
              <w:t>体</w:t>
            </w:r>
            <w:r>
              <w:rPr>
                <w:rFonts w:hint="eastAsia" w:ascii="宋体" w:hAnsi="宋体" w:eastAsia="宋体" w:cs="宋体"/>
                <w:sz w:val="20"/>
                <w:szCs w:val="20"/>
              </w:rPr>
              <w:t>采访</w:t>
            </w:r>
            <w:r>
              <w:rPr>
                <w:rFonts w:hint="eastAsia" w:ascii="宋体" w:hAnsi="宋体" w:eastAsia="宋体" w:cs="宋体"/>
                <w:sz w:val="20"/>
                <w:szCs w:val="20"/>
              </w:rPr>
              <w:tab/>
            </w:r>
            <w:sdt>
              <w:sdtPr>
                <w:rPr>
                  <w:rFonts w:hint="eastAsia" w:ascii="宋体" w:hAnsi="宋体" w:eastAsia="宋体" w:cs="宋体"/>
                  <w:sz w:val="20"/>
                  <w:szCs w:val="20"/>
                </w:rPr>
                <w:id w:val="-66658901"/>
                <w14:checkbox>
                  <w14:checked w14:val="1"/>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Wingdings 2" w:hAnsi="Wingdings 2" w:eastAsia="MS Gothic" w:cs="宋体"/>
                    <w:sz w:val="20"/>
                    <w:szCs w:val="20"/>
                    <w:lang w:val="zh-CN" w:eastAsia="zh-CN" w:bidi="zh-CN"/>
                  </w:rPr>
                  <w:t>R</w:t>
                </w:r>
              </w:sdtContent>
            </w:sdt>
            <w:r>
              <w:rPr>
                <w:rFonts w:hint="eastAsia" w:ascii="宋体" w:hAnsi="宋体" w:eastAsia="宋体" w:cs="宋体"/>
                <w:sz w:val="20"/>
                <w:szCs w:val="20"/>
              </w:rPr>
              <w:t>业</w:t>
            </w:r>
            <w:r>
              <w:rPr>
                <w:rFonts w:hint="eastAsia" w:ascii="宋体" w:hAnsi="宋体" w:eastAsia="宋体" w:cs="宋体"/>
                <w:spacing w:val="-3"/>
                <w:sz w:val="20"/>
                <w:szCs w:val="20"/>
              </w:rPr>
              <w:t>绩</w:t>
            </w:r>
            <w:r>
              <w:rPr>
                <w:rFonts w:hint="eastAsia" w:ascii="宋体" w:hAnsi="宋体" w:eastAsia="宋体" w:cs="宋体"/>
                <w:sz w:val="20"/>
                <w:szCs w:val="20"/>
              </w:rPr>
              <w:t>说</w:t>
            </w:r>
            <w:r>
              <w:rPr>
                <w:rFonts w:hint="eastAsia" w:ascii="宋体" w:hAnsi="宋体" w:eastAsia="宋体" w:cs="宋体"/>
                <w:spacing w:val="-3"/>
                <w:sz w:val="20"/>
                <w:szCs w:val="20"/>
              </w:rPr>
              <w:t>明</w:t>
            </w:r>
            <w:r>
              <w:rPr>
                <w:rFonts w:hint="eastAsia" w:ascii="宋体" w:hAnsi="宋体" w:eastAsia="宋体" w:cs="宋体"/>
                <w:sz w:val="20"/>
                <w:szCs w:val="20"/>
              </w:rPr>
              <w:t>会</w:t>
            </w:r>
          </w:p>
          <w:p>
            <w:pPr>
              <w:pStyle w:val="12"/>
              <w:spacing w:before="8"/>
              <w:rPr>
                <w:rFonts w:ascii="宋体" w:hAnsi="宋体" w:eastAsia="宋体" w:cs="宋体"/>
                <w:sz w:val="20"/>
                <w:szCs w:val="20"/>
              </w:rPr>
            </w:pPr>
          </w:p>
          <w:p>
            <w:pPr>
              <w:pStyle w:val="12"/>
              <w:tabs>
                <w:tab w:val="left" w:pos="2418"/>
              </w:tabs>
              <w:ind w:left="107"/>
              <w:rPr>
                <w:rFonts w:ascii="宋体" w:hAnsi="宋体" w:eastAsia="宋体" w:cs="宋体"/>
                <w:sz w:val="20"/>
                <w:szCs w:val="20"/>
              </w:rPr>
            </w:pPr>
            <w:sdt>
              <w:sdtPr>
                <w:rPr>
                  <w:rFonts w:hint="eastAsia" w:ascii="宋体" w:hAnsi="宋体" w:eastAsia="宋体" w:cs="宋体"/>
                  <w:sz w:val="20"/>
                  <w:szCs w:val="20"/>
                </w:rPr>
                <w:id w:val="-184816743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新</w:t>
            </w:r>
            <w:r>
              <w:rPr>
                <w:rFonts w:hint="eastAsia" w:ascii="宋体" w:hAnsi="宋体" w:eastAsia="宋体" w:cs="宋体"/>
                <w:spacing w:val="-3"/>
                <w:sz w:val="20"/>
                <w:szCs w:val="20"/>
              </w:rPr>
              <w:t>闻</w:t>
            </w:r>
            <w:r>
              <w:rPr>
                <w:rFonts w:hint="eastAsia" w:ascii="宋体" w:hAnsi="宋体" w:eastAsia="宋体" w:cs="宋体"/>
                <w:sz w:val="20"/>
                <w:szCs w:val="20"/>
              </w:rPr>
              <w:t>发</w:t>
            </w:r>
            <w:r>
              <w:rPr>
                <w:rFonts w:hint="eastAsia" w:ascii="宋体" w:hAnsi="宋体" w:eastAsia="宋体" w:cs="宋体"/>
                <w:spacing w:val="-3"/>
                <w:sz w:val="20"/>
                <w:szCs w:val="20"/>
              </w:rPr>
              <w:t>布</w:t>
            </w:r>
            <w:r>
              <w:rPr>
                <w:rFonts w:hint="eastAsia" w:ascii="宋体" w:hAnsi="宋体" w:eastAsia="宋体" w:cs="宋体"/>
                <w:sz w:val="20"/>
                <w:szCs w:val="20"/>
              </w:rPr>
              <w:t>会</w:t>
            </w:r>
            <w:r>
              <w:rPr>
                <w:rFonts w:hint="eastAsia" w:ascii="宋体" w:hAnsi="宋体" w:eastAsia="宋体" w:cs="宋体"/>
                <w:sz w:val="20"/>
                <w:szCs w:val="20"/>
              </w:rPr>
              <w:tab/>
            </w:r>
            <w:sdt>
              <w:sdtPr>
                <w:rPr>
                  <w:rFonts w:hint="eastAsia" w:ascii="宋体" w:hAnsi="宋体" w:eastAsia="宋体" w:cs="宋体"/>
                  <w:sz w:val="20"/>
                  <w:szCs w:val="20"/>
                </w:rPr>
                <w:id w:val="41204969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路</w:t>
            </w:r>
            <w:r>
              <w:rPr>
                <w:rFonts w:hint="eastAsia" w:ascii="宋体" w:hAnsi="宋体" w:eastAsia="宋体" w:cs="宋体"/>
                <w:spacing w:val="-3"/>
                <w:sz w:val="20"/>
                <w:szCs w:val="20"/>
              </w:rPr>
              <w:t>演</w:t>
            </w:r>
            <w:r>
              <w:rPr>
                <w:rFonts w:hint="eastAsia" w:ascii="宋体" w:hAnsi="宋体" w:eastAsia="宋体" w:cs="宋体"/>
                <w:sz w:val="20"/>
                <w:szCs w:val="20"/>
              </w:rPr>
              <w:t>活动</w:t>
            </w:r>
          </w:p>
          <w:p>
            <w:pPr>
              <w:pStyle w:val="12"/>
              <w:spacing w:before="8"/>
              <w:rPr>
                <w:rFonts w:ascii="宋体" w:hAnsi="宋体" w:eastAsia="宋体" w:cs="宋体"/>
                <w:sz w:val="20"/>
                <w:szCs w:val="20"/>
              </w:rPr>
            </w:pPr>
          </w:p>
          <w:p>
            <w:pPr>
              <w:pStyle w:val="12"/>
              <w:ind w:left="107"/>
              <w:rPr>
                <w:rFonts w:ascii="宋体" w:hAnsi="宋体" w:eastAsia="宋体" w:cs="宋体"/>
                <w:sz w:val="20"/>
                <w:szCs w:val="20"/>
              </w:rPr>
            </w:pPr>
            <w:sdt>
              <w:sdtPr>
                <w:rPr>
                  <w:rFonts w:hint="eastAsia" w:ascii="宋体" w:hAnsi="宋体" w:eastAsia="宋体" w:cs="宋体"/>
                  <w:sz w:val="20"/>
                  <w:szCs w:val="20"/>
                </w:rPr>
                <w:id w:val="-133336691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现场参观</w:t>
            </w:r>
          </w:p>
          <w:p>
            <w:pPr>
              <w:pStyle w:val="12"/>
              <w:spacing w:before="11"/>
              <w:rPr>
                <w:rFonts w:ascii="宋体" w:hAnsi="宋体" w:eastAsia="宋体" w:cs="宋体"/>
                <w:sz w:val="20"/>
                <w:szCs w:val="20"/>
              </w:rPr>
            </w:pPr>
          </w:p>
          <w:p>
            <w:pPr>
              <w:pStyle w:val="12"/>
              <w:ind w:left="107"/>
              <w:rPr>
                <w:rFonts w:ascii="宋体" w:hAnsi="宋体" w:eastAsia="宋体" w:cs="宋体"/>
                <w:sz w:val="20"/>
                <w:szCs w:val="20"/>
              </w:rPr>
            </w:pPr>
            <w:sdt>
              <w:sdtPr>
                <w:rPr>
                  <w:rFonts w:hint="eastAsia" w:ascii="宋体" w:hAnsi="宋体" w:eastAsia="宋体" w:cs="宋体"/>
                  <w:sz w:val="20"/>
                  <w:szCs w:val="20"/>
                </w:rPr>
                <w:id w:val="400885218"/>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Ex>
        <w:trPr>
          <w:trHeight w:val="1120" w:hRule="atLeast"/>
          <w:jc w:val="center"/>
        </w:trPr>
        <w:tc>
          <w:tcPr>
            <w:tcW w:w="2580" w:type="dxa"/>
            <w:vAlign w:val="center"/>
          </w:tcPr>
          <w:p>
            <w:pPr>
              <w:pStyle w:val="12"/>
              <w:spacing w:line="560" w:lineRule="exact"/>
              <w:ind w:left="107" w:right="96"/>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参与单位名称及人员姓名</w:t>
            </w:r>
          </w:p>
        </w:tc>
        <w:tc>
          <w:tcPr>
            <w:tcW w:w="6308" w:type="dxa"/>
            <w:vAlign w:val="center"/>
          </w:tcPr>
          <w:p>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cs="宋体" w:asciiTheme="minorEastAsia" w:hAnsiTheme="minorEastAsia" w:eastAsiaTheme="minorEastAsia"/>
                <w:sz w:val="20"/>
                <w:szCs w:val="20"/>
                <w:lang w:val="en-US" w:eastAsia="zh-CN"/>
              </w:rPr>
            </w:pPr>
            <w:r>
              <w:rPr>
                <w:rFonts w:hint="eastAsia" w:cs="宋体" w:asciiTheme="minorEastAsia" w:hAnsiTheme="minorEastAsia" w:eastAsiaTheme="minorEastAsia"/>
                <w:sz w:val="20"/>
                <w:szCs w:val="20"/>
                <w:lang w:val="en-US" w:eastAsia="zh-CN"/>
              </w:rPr>
              <w:t>线上参与三维股份（603033）2026年半年度业绩说明会的全体投资者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Ex>
        <w:trPr>
          <w:trHeight w:val="558" w:hRule="atLeast"/>
          <w:jc w:val="center"/>
        </w:trPr>
        <w:tc>
          <w:tcPr>
            <w:tcW w:w="2580" w:type="dxa"/>
            <w:vAlign w:val="center"/>
          </w:tcPr>
          <w:p>
            <w:pPr>
              <w:pStyle w:val="12"/>
              <w:ind w:left="107"/>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时间</w:t>
            </w:r>
          </w:p>
        </w:tc>
        <w:tc>
          <w:tcPr>
            <w:tcW w:w="6308" w:type="dxa"/>
            <w:vAlign w:val="center"/>
          </w:tcPr>
          <w:p>
            <w:pPr>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sz w:val="20"/>
                <w:szCs w:val="20"/>
              </w:rPr>
            </w:pPr>
            <w:r>
              <w:rPr>
                <w:rFonts w:hint="eastAsia" w:asciiTheme="minorEastAsia" w:hAnsiTheme="minorEastAsia" w:eastAsiaTheme="minorEastAsia" w:cstheme="minorEastAsia"/>
                <w:sz w:val="20"/>
                <w:szCs w:val="20"/>
              </w:rPr>
              <w:t>2026年0</w:t>
            </w:r>
            <w:r>
              <w:rPr>
                <w:rFonts w:hint="eastAsia" w:asciiTheme="minorEastAsia" w:hAnsiTheme="minorEastAsia" w:eastAsiaTheme="minorEastAsia" w:cstheme="minorEastAsia"/>
                <w:sz w:val="20"/>
                <w:szCs w:val="20"/>
                <w:lang w:val="en-US" w:eastAsia="zh-CN"/>
              </w:rPr>
              <w:t>9</w:t>
            </w:r>
            <w:r>
              <w:rPr>
                <w:rFonts w:hint="eastAsia" w:asciiTheme="minorEastAsia" w:hAnsiTheme="minorEastAsia" w:eastAsiaTheme="minorEastAsia" w:cstheme="minorEastAsia"/>
                <w:sz w:val="20"/>
                <w:szCs w:val="20"/>
              </w:rPr>
              <w:t>月1</w:t>
            </w:r>
            <w:r>
              <w:rPr>
                <w:rFonts w:hint="eastAsia" w:asciiTheme="minorEastAsia" w:hAnsiTheme="minorEastAsia" w:eastAsiaTheme="minorEastAsia" w:cstheme="minorEastAsia"/>
                <w:sz w:val="20"/>
                <w:szCs w:val="20"/>
                <w:lang w:val="en-US" w:eastAsia="zh-CN"/>
              </w:rPr>
              <w:t>6</w:t>
            </w:r>
            <w:r>
              <w:rPr>
                <w:rFonts w:hint="eastAsia" w:asciiTheme="minorEastAsia" w:hAnsiTheme="minorEastAsia" w:eastAsiaTheme="minorEastAsia" w:cstheme="minorEastAsia"/>
                <w:sz w:val="20"/>
                <w:szCs w:val="20"/>
              </w:rPr>
              <w:t>日 15:00-16:00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Ex>
        <w:trPr>
          <w:trHeight w:val="561" w:hRule="atLeast"/>
          <w:jc w:val="center"/>
        </w:trPr>
        <w:tc>
          <w:tcPr>
            <w:tcW w:w="2580" w:type="dxa"/>
            <w:vAlign w:val="center"/>
          </w:tcPr>
          <w:p>
            <w:pPr>
              <w:pStyle w:val="12"/>
              <w:ind w:left="107"/>
              <w:rPr>
                <w:rFonts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地点</w:t>
            </w:r>
          </w:p>
        </w:tc>
        <w:tc>
          <w:tcPr>
            <w:tcW w:w="6308" w:type="dxa"/>
            <w:vAlign w:val="center"/>
          </w:tcPr>
          <w:p>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cs="宋体" w:asciiTheme="minorEastAsia" w:hAnsiTheme="minorEastAsia" w:eastAsiaTheme="minorEastAsia"/>
                <w:sz w:val="20"/>
                <w:szCs w:val="20"/>
              </w:rPr>
            </w:pPr>
            <w:r>
              <w:rPr>
                <w:rFonts w:cs="宋体" w:asciiTheme="minorEastAsia" w:hAnsiTheme="minorEastAsia" w:eastAsiaTheme="minorEastAsia"/>
                <w:sz w:val="20"/>
                <w:szCs w:val="20"/>
              </w:rPr>
              <w:t>价值在线（https://www.ir-online.cn/）网络互动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Ex>
        <w:trPr>
          <w:trHeight w:val="558" w:hRule="atLeast"/>
          <w:jc w:val="center"/>
        </w:trPr>
        <w:tc>
          <w:tcPr>
            <w:tcW w:w="2580" w:type="dxa"/>
            <w:vAlign w:val="center"/>
          </w:tcPr>
          <w:p>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上市公司接待人员姓名</w:t>
            </w:r>
          </w:p>
        </w:tc>
        <w:tc>
          <w:tcPr>
            <w:tcW w:w="6308" w:type="dxa"/>
            <w:vAlign w:val="center"/>
          </w:tcPr>
          <w:p>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宋体" w:hAnsi="宋体" w:eastAsia="宋体" w:cs="宋体"/>
                <w:sz w:val="20"/>
                <w:szCs w:val="20"/>
              </w:rPr>
            </w:pPr>
            <w:r>
              <w:rPr>
                <w:rFonts w:ascii="宋体" w:hAnsi="宋体" w:eastAsia="宋体" w:cs="宋体"/>
                <w:sz w:val="20"/>
                <w:szCs w:val="20"/>
              </w:rPr>
              <w:t>董事长 叶继跃</w:t>
            </w:r>
            <w:r>
              <w:rPr>
                <w:rFonts w:ascii="宋体" w:hAnsi="宋体" w:eastAsia="宋体" w:cs="宋体"/>
                <w:sz w:val="20"/>
                <w:szCs w:val="20"/>
              </w:rPr>
              <w:br w:type="textWrapping"/>
            </w:r>
            <w:r>
              <w:rPr>
                <w:rFonts w:ascii="宋体" w:hAnsi="宋体" w:eastAsia="宋体" w:cs="宋体"/>
                <w:sz w:val="20"/>
                <w:szCs w:val="20"/>
              </w:rPr>
              <w:t>独立董事 何丽丽</w:t>
            </w:r>
            <w:r>
              <w:rPr>
                <w:rFonts w:ascii="宋体" w:hAnsi="宋体" w:eastAsia="宋体" w:cs="宋体"/>
                <w:sz w:val="20"/>
                <w:szCs w:val="20"/>
              </w:rPr>
              <w:br w:type="textWrapping"/>
            </w:r>
            <w:r>
              <w:rPr>
                <w:rFonts w:ascii="宋体" w:hAnsi="宋体" w:eastAsia="宋体" w:cs="宋体"/>
                <w:sz w:val="20"/>
                <w:szCs w:val="20"/>
              </w:rPr>
              <w:t>董事会秘书 程沧</w:t>
            </w:r>
            <w:r>
              <w:rPr>
                <w:rFonts w:ascii="宋体" w:hAnsi="宋体" w:eastAsia="宋体" w:cs="宋体"/>
                <w:sz w:val="20"/>
                <w:szCs w:val="20"/>
              </w:rPr>
              <w:br w:type="textWrapping"/>
            </w:r>
            <w:r>
              <w:rPr>
                <w:rFonts w:ascii="宋体" w:hAnsi="宋体" w:eastAsia="宋体" w:cs="宋体"/>
                <w:sz w:val="20"/>
                <w:szCs w:val="20"/>
              </w:rPr>
              <w:t>财务总监 李帅红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Ex>
        <w:trPr>
          <w:trHeight w:val="1127" w:hRule="atLeast"/>
          <w:jc w:val="center"/>
        </w:trPr>
        <w:tc>
          <w:tcPr>
            <w:tcW w:w="2580" w:type="dxa"/>
          </w:tcPr>
          <w:p>
            <w:pPr>
              <w:pStyle w:val="12"/>
              <w:rPr>
                <w:rFonts w:ascii="宋体" w:hAnsi="宋体" w:eastAsia="宋体" w:cs="宋体"/>
                <w:b/>
                <w:bCs/>
                <w:sz w:val="20"/>
                <w:szCs w:val="20"/>
              </w:rPr>
            </w:pPr>
          </w:p>
          <w:p>
            <w:pPr>
              <w:pStyle w:val="12"/>
              <w:rPr>
                <w:rFonts w:ascii="宋体" w:hAnsi="宋体" w:eastAsia="宋体" w:cs="宋体"/>
                <w:b/>
                <w:bCs/>
                <w:sz w:val="20"/>
                <w:szCs w:val="20"/>
              </w:rPr>
            </w:pPr>
          </w:p>
          <w:p>
            <w:pPr>
              <w:pStyle w:val="12"/>
              <w:spacing w:before="5"/>
              <w:rPr>
                <w:rFonts w:ascii="宋体" w:hAnsi="宋体" w:eastAsia="宋体" w:cs="宋体"/>
                <w:b/>
                <w:bCs/>
                <w:sz w:val="20"/>
                <w:szCs w:val="20"/>
              </w:rPr>
            </w:pPr>
          </w:p>
          <w:p>
            <w:pPr>
              <w:pStyle w:val="12"/>
              <w:spacing w:before="1" w:line="499" w:lineRule="auto"/>
              <w:ind w:left="107" w:right="96"/>
              <w:rPr>
                <w:rFonts w:ascii="宋体" w:hAnsi="宋体" w:eastAsia="宋体" w:cs="宋体"/>
                <w:b/>
                <w:bCs/>
                <w:sz w:val="20"/>
                <w:szCs w:val="20"/>
              </w:rPr>
            </w:pPr>
            <w:r>
              <w:rPr>
                <w:rFonts w:hint="eastAsia" w:ascii="宋体" w:hAnsi="宋体" w:eastAsia="宋体" w:cs="宋体"/>
                <w:b/>
                <w:bCs/>
                <w:sz w:val="20"/>
                <w:szCs w:val="20"/>
              </w:rPr>
              <w:t>投资者关系活动主要内容介绍</w:t>
            </w:r>
          </w:p>
        </w:tc>
        <w:tc>
          <w:tcPr>
            <w:tcW w:w="6308" w:type="dxa"/>
          </w:tcPr>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rightChars="0" w:firstLine="402" w:firstLineChars="200"/>
              <w:jc w:val="both"/>
              <w:textAlignment w:val="auto"/>
              <w:outlineLvl w:val="9"/>
              <w:rPr>
                <w:rFonts w:ascii="宋体" w:hAnsi="宋体" w:eastAsia="宋体" w:cs="宋体"/>
                <w:b w:val="0"/>
                <w:sz w:val="20"/>
              </w:rPr>
            </w:pPr>
            <w:r>
              <w:rPr>
                <w:rFonts w:ascii="宋体" w:hAnsi="宋体" w:eastAsia="宋体" w:cs="宋体"/>
                <w:b/>
                <w:sz w:val="20"/>
              </w:rPr>
              <w:t>我们的业绩什么时候会好起来，对股民会采取什么实在的举措</w:t>
            </w:r>
            <w:r>
              <w:rPr>
                <w:rFonts w:ascii="宋体" w:hAnsi="宋体" w:eastAsia="宋体" w:cs="宋体"/>
                <w:b/>
                <w:sz w:val="20"/>
              </w:rPr>
              <w:br w:type="textWrapping"/>
            </w:r>
            <w:r>
              <w:rPr>
                <w:rFonts w:ascii="宋体" w:hAnsi="宋体" w:eastAsia="宋体" w:cs="宋体"/>
                <w:b w:val="0"/>
                <w:sz w:val="20"/>
              </w:rPr>
              <w:t xml:space="preserve">    答:尊敬的投资者，您好！我们充分理解您对业绩改善的迫切期待。当前公司BDO业务受行业价格波动及折旧增加影响出现阶段性亏损，但公司整体经营保持稳定，2026年半年度营业收入同比增长13.71%，经营活动现金流净额同比大幅改善。随着电石炉尾气制氢等一系列降本技改项目陆续投产达效，以及BDO行业供需格局逐步优化，公司盈利能力有望逐步修复，公司将在实现盈利后优先考虑恢复现金分红以回报股东，感谢您的关注。</w:t>
            </w:r>
          </w:p>
          <w:p>
            <w:pPr>
              <w:keepNext w:val="0"/>
              <w:keepLines w:val="0"/>
              <w:pageBreakBefore w:val="0"/>
              <w:widowControl w:val="0"/>
              <w:numPr>
                <w:numId w:val="0"/>
              </w:numPr>
              <w:kinsoku/>
              <w:wordWrap/>
              <w:overflowPunct/>
              <w:topLinePunct w:val="0"/>
              <w:autoSpaceDE/>
              <w:autoSpaceDN/>
              <w:bidi w:val="0"/>
              <w:adjustRightInd/>
              <w:snapToGrid/>
              <w:spacing w:line="360" w:lineRule="auto"/>
              <w:ind w:leftChars="200" w:right="0" w:rightChars="0"/>
              <w:jc w:val="both"/>
              <w:textAlignment w:val="auto"/>
              <w:outlineLvl w:val="9"/>
              <w:rPr>
                <w:rFonts w:hint="eastAsia" w:ascii="宋体" w:hAnsi="宋体" w:eastAsia="宋体" w:cs="宋体"/>
                <w:b w:val="0"/>
                <w:sz w:val="20"/>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02" w:firstLineChars="200"/>
              <w:jc w:val="both"/>
              <w:textAlignment w:val="auto"/>
              <w:outlineLvl w:val="9"/>
              <w:rPr>
                <w:rFonts w:ascii="宋体" w:hAnsi="宋体" w:eastAsia="宋体" w:cs="宋体"/>
                <w:b w:val="0"/>
                <w:sz w:val="20"/>
              </w:rPr>
            </w:pPr>
            <w:r>
              <w:rPr>
                <w:rFonts w:ascii="宋体" w:hAnsi="宋体" w:eastAsia="宋体" w:cs="宋体"/>
                <w:b/>
                <w:sz w:val="20"/>
              </w:rPr>
              <w:t>2</w:t>
            </w:r>
            <w:r>
              <w:rPr>
                <w:rFonts w:hint="eastAsia" w:ascii="宋体" w:hAnsi="宋体" w:eastAsia="宋体" w:cs="宋体"/>
                <w:b/>
                <w:sz w:val="20"/>
                <w:lang w:eastAsia="zh-CN"/>
              </w:rPr>
              <w:t>、</w:t>
            </w:r>
            <w:r>
              <w:rPr>
                <w:rFonts w:ascii="宋体" w:hAnsi="宋体" w:eastAsia="宋体" w:cs="宋体"/>
                <w:b/>
                <w:sz w:val="20"/>
              </w:rPr>
              <w:t>作为陪伴公司成长多年的长期股东，我亲历了公司在主业开拓及新业务布局上的诸多不易与突破。基于对公司发展的持续关注，现就以下事项向管理层请教，恳请予以解答：1、公司兰炭项目早在24年4月就已在当地发改委完成备案，一期公示工期为18个月，请问公司目前项目真实进展到哪一步了，预计的竣工投产时间？
2、作为公司第二项关键技改：BDO装置余热利用+泵类增效节电项目计划完成时间？
3、目前随着禁塑令的实施以及高端化工的需求放大，请问公司对于PBAT、PTMEG、NMP，GBL，这四个产线有没有新的投入规划？
4、面对目前国际形势导致甲醇价格高企的情况，请问公司预判下半年能否将原材料价格增幅有效传导至BDO价格上？</w:t>
            </w:r>
            <w:r>
              <w:rPr>
                <w:rFonts w:ascii="宋体" w:hAnsi="宋体" w:eastAsia="宋体" w:cs="宋体"/>
                <w:b/>
                <w:sz w:val="20"/>
              </w:rPr>
              <w:br w:type="textWrapping"/>
            </w:r>
            <w:r>
              <w:rPr>
                <w:rFonts w:ascii="宋体" w:hAnsi="宋体" w:eastAsia="宋体" w:cs="宋体"/>
                <w:b w:val="0"/>
                <w:sz w:val="20"/>
              </w:rPr>
              <w:t xml:space="preserve">    答:尊敬的投资者，您好！</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00" w:firstLineChars="200"/>
              <w:jc w:val="both"/>
              <w:textAlignment w:val="auto"/>
              <w:outlineLvl w:val="9"/>
              <w:rPr>
                <w:rFonts w:ascii="宋体" w:hAnsi="宋体" w:eastAsia="宋体" w:cs="宋体"/>
                <w:b w:val="0"/>
                <w:sz w:val="20"/>
              </w:rPr>
            </w:pPr>
            <w:r>
              <w:rPr>
                <w:rFonts w:ascii="宋体" w:hAnsi="宋体" w:eastAsia="宋体" w:cs="宋体"/>
                <w:b w:val="0"/>
                <w:sz w:val="20"/>
              </w:rPr>
              <w:t>1、公司兰炭项目采用的合成气制甲醇工艺方案，已通过内蒙古自治区发改委审核并上报国家发改委审批中，项目后续具体建设时间请以公司信息公告为准。</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00" w:firstLineChars="200"/>
              <w:jc w:val="both"/>
              <w:textAlignment w:val="auto"/>
              <w:outlineLvl w:val="9"/>
              <w:rPr>
                <w:rFonts w:ascii="宋体" w:hAnsi="宋体" w:eastAsia="宋体" w:cs="宋体"/>
                <w:b w:val="0"/>
                <w:sz w:val="20"/>
              </w:rPr>
            </w:pPr>
            <w:r>
              <w:rPr>
                <w:rFonts w:ascii="宋体" w:hAnsi="宋体" w:eastAsia="宋体" w:cs="宋体"/>
                <w:b w:val="0"/>
                <w:sz w:val="20"/>
              </w:rPr>
              <w:t>2、余热回收技改项目通过回收BDO装置塔顶工艺物料冷却过程中的低温余热用于生产配套环节，降低蒸汽及循环水消耗，目前主体工程已完成80%，即将开展打压、调试工作，预计下半年可全面投产。泵类增效节电项目已针对循环水泵、除氧水泵、脱盐水泵通过叶轮切割、变频改造、高效叶轮更换等方式进行改造，有效降低生产电耗，助力能耗管控目标达成。</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00" w:firstLineChars="200"/>
              <w:jc w:val="both"/>
              <w:textAlignment w:val="auto"/>
              <w:outlineLvl w:val="9"/>
              <w:rPr>
                <w:rFonts w:ascii="宋体" w:hAnsi="宋体" w:eastAsia="宋体" w:cs="宋体"/>
                <w:b w:val="0"/>
                <w:sz w:val="20"/>
              </w:rPr>
            </w:pPr>
            <w:r>
              <w:rPr>
                <w:rFonts w:ascii="宋体" w:hAnsi="宋体" w:eastAsia="宋体" w:cs="宋体"/>
                <w:b w:val="0"/>
                <w:sz w:val="20"/>
              </w:rPr>
              <w:t>3、公司将结合市场趋势及经营需求，对下游产品投资进行充分论证、评估后再开展，相关投资计划将严格履行审议程序及信息披露义务，敬请关注后续公告。</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00" w:firstLineChars="200"/>
              <w:jc w:val="both"/>
              <w:textAlignment w:val="auto"/>
              <w:outlineLvl w:val="9"/>
              <w:rPr>
                <w:rFonts w:ascii="宋体" w:hAnsi="宋体" w:eastAsia="宋体" w:cs="宋体"/>
                <w:b w:val="0"/>
                <w:sz w:val="20"/>
              </w:rPr>
            </w:pPr>
            <w:r>
              <w:rPr>
                <w:rFonts w:ascii="宋体" w:hAnsi="宋体" w:eastAsia="宋体" w:cs="宋体"/>
                <w:b w:val="0"/>
                <w:sz w:val="20"/>
              </w:rPr>
              <w:t>4、近期BDO市场强势波动，今日华东散水挂牌价报9400元/吨，较8月底上涨超13%，我们认为本轮涨价行情主要受成本托底、供给收缩、需求回暖、供方挺价的多重利好推动。8月以来，甲醇价格受中东局势影响持续上行，电石价格也因电力管控等因素自低位反弹，核心原材料成本走高导致BDO成本压力增加、多数企业亏损态势加剧，成本压力下，企业抱团挺市、上调报价成为行业共识；行业整体开工负荷维持低位，多地生产装置进入阶段性检修、降负周期，且西北产区受铁路运输受限影响，整体社会库存处于低位水平，货源供应持续偏紧；从成本传导的实际情况看，当前下游PTMEG、PBT、PBAT等行业虽处于亏损或微利状态，对高价原料存在一定抵触，但在供给偏紧、金九旺季需求回暖的格局下，刚需采购仍逐步跟进，高成本正以渐进方式向下游传导。公司并不单纯依赖产品价格上行来修复盈利。一方面，公司持续推进的技改项目正在逐步落地，另一方面，公司乌海基地具备煤炭、石灰石、电力等区位资源优势，一体化产业链的协同效应在行业波动期更能体现出成本韧性。我们对BDO业务盈利能力的逐步改善保持信心。谢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00" w:firstLineChars="200"/>
              <w:jc w:val="both"/>
              <w:textAlignment w:val="auto"/>
              <w:outlineLvl w:val="9"/>
              <w:rPr>
                <w:rFonts w:ascii="宋体" w:hAnsi="宋体" w:eastAsia="宋体" w:cs="宋体"/>
                <w:b w:val="0"/>
                <w:sz w:val="20"/>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02" w:firstLineChars="200"/>
              <w:jc w:val="both"/>
              <w:textAlignment w:val="auto"/>
              <w:outlineLvl w:val="9"/>
              <w:rPr>
                <w:rFonts w:ascii="宋体" w:hAnsi="宋体" w:eastAsia="宋体" w:cs="宋体"/>
                <w:b w:val="0"/>
                <w:sz w:val="20"/>
              </w:rPr>
            </w:pPr>
            <w:r>
              <w:rPr>
                <w:rFonts w:ascii="宋体" w:hAnsi="宋体" w:eastAsia="宋体" w:cs="宋体"/>
                <w:b/>
                <w:sz w:val="20"/>
              </w:rPr>
              <w:t xml:space="preserve"> 3</w:t>
            </w:r>
            <w:r>
              <w:rPr>
                <w:rFonts w:hint="eastAsia" w:ascii="宋体" w:hAnsi="宋体" w:eastAsia="宋体" w:cs="宋体"/>
                <w:b/>
                <w:sz w:val="20"/>
                <w:lang w:eastAsia="zh-CN"/>
              </w:rPr>
              <w:t>、</w:t>
            </w:r>
            <w:r>
              <w:rPr>
                <w:rFonts w:ascii="宋体" w:hAnsi="宋体" w:eastAsia="宋体" w:cs="宋体"/>
                <w:b/>
                <w:sz w:val="20"/>
              </w:rPr>
              <w:t>注意到三维内蒙公司新增好几个执行案件，是否是因为企业资金紧张导致？</w:t>
            </w:r>
            <w:r>
              <w:rPr>
                <w:rFonts w:ascii="宋体" w:hAnsi="宋体" w:eastAsia="宋体" w:cs="宋体"/>
                <w:b/>
                <w:sz w:val="20"/>
              </w:rPr>
              <w:br w:type="textWrapping"/>
            </w:r>
            <w:r>
              <w:rPr>
                <w:rFonts w:ascii="宋体" w:hAnsi="宋体" w:eastAsia="宋体" w:cs="宋体"/>
                <w:b w:val="0"/>
                <w:sz w:val="20"/>
              </w:rPr>
              <w:t xml:space="preserve">    答:尊敬的投资者，您好！经核实，内蒙古三维近期新增的执行案件主要涉及建设工程施工合同及设备采购合同等经营性纠纷，属于项目建设运营中的常见商业争议，目前公司及内蒙古三维生产经营正常，装置运行稳定，现金流同比改善，相关案件金额占比较小，不会对公司正常经营和偿债能力产生重大影响。谢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00" w:firstLineChars="200"/>
              <w:jc w:val="both"/>
              <w:textAlignment w:val="auto"/>
              <w:outlineLvl w:val="9"/>
              <w:rPr>
                <w:rFonts w:ascii="宋体" w:hAnsi="宋体" w:eastAsia="宋体" w:cs="宋体"/>
                <w:b w:val="0"/>
                <w:sz w:val="20"/>
              </w:rPr>
            </w:pPr>
            <w:r>
              <w:rPr>
                <w:rFonts w:ascii="宋体" w:hAnsi="宋体" w:eastAsia="宋体" w:cs="宋体"/>
                <w:b w:val="0"/>
                <w:sz w:val="20"/>
              </w:rPr>
              <w:br w:type="textWrapping"/>
            </w:r>
            <w:r>
              <w:rPr>
                <w:rFonts w:ascii="宋体" w:hAnsi="宋体" w:eastAsia="宋体" w:cs="宋体"/>
                <w:b/>
                <w:sz w:val="20"/>
              </w:rPr>
              <w:t xml:space="preserve">    4</w:t>
            </w:r>
            <w:r>
              <w:rPr>
                <w:rFonts w:hint="eastAsia" w:ascii="宋体" w:hAnsi="宋体" w:eastAsia="宋体" w:cs="宋体"/>
                <w:b/>
                <w:sz w:val="20"/>
                <w:lang w:eastAsia="zh-CN"/>
              </w:rPr>
              <w:t>、</w:t>
            </w:r>
            <w:r>
              <w:rPr>
                <w:rFonts w:ascii="宋体" w:hAnsi="宋体" w:eastAsia="宋体" w:cs="宋体"/>
                <w:b/>
                <w:sz w:val="20"/>
              </w:rPr>
              <w:t>公司这半年来股价下跌40%，后续是否将采取措施来支持股价回升？</w:t>
            </w:r>
            <w:r>
              <w:rPr>
                <w:rFonts w:ascii="宋体" w:hAnsi="宋体" w:eastAsia="宋体" w:cs="宋体"/>
                <w:b/>
                <w:sz w:val="20"/>
              </w:rPr>
              <w:br w:type="textWrapping"/>
            </w:r>
            <w:r>
              <w:rPr>
                <w:rFonts w:ascii="宋体" w:hAnsi="宋体" w:eastAsia="宋体" w:cs="宋体"/>
                <w:b w:val="0"/>
                <w:sz w:val="20"/>
              </w:rPr>
              <w:t xml:space="preserve">    答:尊敬的投资者，您好！公司始终高度重视市值管理与股东回报，坚持以提高上市公司质量为核心，通过聚焦主业经营改善、持续提升盈利能力来夯实公司内在价值。在合规前提下，公司已通过股份回购等方式传递对长期价值的信心，后续将结合经营实际，统筹考虑现金分红、股权激励等多元化举措，建立健全长效激励约束机制，促进公司价值与股东利益的协同增长。市值管理是一项系统性工作，公司将持续完善治理结构、提升信息披露质量、加强投资者沟通，努力以稳健经营和高质量发展回报广大投资者的信任。谢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00" w:firstLineChars="200"/>
              <w:jc w:val="both"/>
              <w:textAlignment w:val="auto"/>
              <w:outlineLvl w:val="9"/>
              <w:rPr>
                <w:rFonts w:ascii="宋体" w:hAnsi="宋体" w:eastAsia="宋体" w:cs="宋体"/>
                <w:b w:val="0"/>
                <w:sz w:val="20"/>
              </w:rPr>
            </w:pPr>
            <w:r>
              <w:rPr>
                <w:rFonts w:ascii="宋体" w:hAnsi="宋体" w:eastAsia="宋体" w:cs="宋体"/>
                <w:b w:val="0"/>
                <w:sz w:val="20"/>
              </w:rPr>
              <w:br w:type="textWrapping"/>
            </w:r>
            <w:r>
              <w:rPr>
                <w:rFonts w:ascii="宋体" w:hAnsi="宋体" w:eastAsia="宋体" w:cs="宋体"/>
                <w:b/>
                <w:sz w:val="20"/>
              </w:rPr>
              <w:t xml:space="preserve">    5</w:t>
            </w:r>
            <w:r>
              <w:rPr>
                <w:rFonts w:hint="eastAsia" w:ascii="宋体" w:hAnsi="宋体" w:eastAsia="宋体" w:cs="宋体"/>
                <w:b/>
                <w:sz w:val="20"/>
                <w:lang w:eastAsia="zh-CN"/>
              </w:rPr>
              <w:t>、</w:t>
            </w:r>
            <w:r>
              <w:rPr>
                <w:rFonts w:ascii="宋体" w:hAnsi="宋体" w:eastAsia="宋体" w:cs="宋体"/>
                <w:b/>
                <w:sz w:val="20"/>
              </w:rPr>
              <w:t>公司持续亏损，股票5年一直是走下降通道。公司不做市值管理的吗？大股东一直在减持或变相减持。还有各种被强制执行。公告有执行几千万的，几百万的各种被法院执行公司是有很多违法的事情吗？三维股份会不会被st？</w:t>
            </w:r>
            <w:r>
              <w:rPr>
                <w:rFonts w:ascii="宋体" w:hAnsi="宋体" w:eastAsia="宋体" w:cs="宋体"/>
                <w:b/>
                <w:sz w:val="20"/>
              </w:rPr>
              <w:br w:type="textWrapping"/>
            </w:r>
            <w:r>
              <w:rPr>
                <w:rFonts w:ascii="宋体" w:hAnsi="宋体" w:eastAsia="宋体" w:cs="宋体"/>
                <w:b w:val="0"/>
                <w:sz w:val="20"/>
              </w:rPr>
              <w:t xml:space="preserve">    答:尊敬的投资者，您好！当前公司确实处于业绩承压阶段，但公司积极采取有效措施逐步改善盈利能力，电石炉尾气制氢技改项目已投产达效，余热回收技改项目、泵类增效节电项目等一系列降本措施正持续推进，BDO生产成本正逐步下降；另一方面，BDO价格自7月以来持续回升，最新价格已创阶段性新高，行业供需格局正在改善。公司管理层对全年经营改善保持信心，但二级市场股价受宏观环境、行业周期及市场情绪等多重因素影响，短期波动具有不确定性，请您注意投资风险，理性看待短期波动。谢谢。</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00" w:firstLineChars="200"/>
              <w:jc w:val="both"/>
              <w:textAlignment w:val="auto"/>
              <w:outlineLvl w:val="9"/>
              <w:rPr>
                <w:rFonts w:ascii="宋体" w:hAnsi="宋体" w:eastAsia="宋体" w:cs="宋体"/>
                <w:sz w:val="20"/>
                <w:szCs w:val="20"/>
              </w:rPr>
            </w:pPr>
            <w:r>
              <w:rPr>
                <w:rFonts w:ascii="宋体" w:hAnsi="宋体" w:eastAsia="宋体" w:cs="宋体"/>
                <w:b w:val="0"/>
                <w:sz w:val="20"/>
              </w:rPr>
              <w:br w:type="textWrapping"/>
            </w:r>
            <w:r>
              <w:rPr>
                <w:rFonts w:ascii="宋体" w:hAnsi="宋体" w:eastAsia="宋体" w:cs="宋体"/>
                <w:b/>
                <w:sz w:val="20"/>
              </w:rPr>
              <w:t xml:space="preserve">    6</w:t>
            </w:r>
            <w:r>
              <w:rPr>
                <w:rFonts w:hint="eastAsia" w:ascii="宋体" w:hAnsi="宋体" w:eastAsia="宋体" w:cs="宋体"/>
                <w:b/>
                <w:sz w:val="20"/>
                <w:lang w:eastAsia="zh-CN"/>
              </w:rPr>
              <w:t>、</w:t>
            </w:r>
            <w:r>
              <w:rPr>
                <w:rFonts w:ascii="宋体" w:hAnsi="宋体" w:eastAsia="宋体" w:cs="宋体"/>
                <w:b/>
                <w:sz w:val="20"/>
              </w:rPr>
              <w:t>公司持续亏损，股票5年一直是走下降通道。公司不做市值管理的吗？大股东一直在减持或变相减持。还有各种被强制执行。公告有执行几千万的，几百万的各种被法院执行公司是有很多违法的事情吗？三维股份会不会被st?</w:t>
            </w:r>
            <w:r>
              <w:rPr>
                <w:rFonts w:ascii="宋体" w:hAnsi="宋体" w:eastAsia="宋体" w:cs="宋体"/>
                <w:b/>
                <w:sz w:val="20"/>
              </w:rPr>
              <w:br w:type="textWrapping"/>
            </w:r>
            <w:r>
              <w:rPr>
                <w:rFonts w:ascii="宋体" w:hAnsi="宋体" w:eastAsia="宋体" w:cs="宋体"/>
                <w:b w:val="0"/>
                <w:sz w:val="20"/>
              </w:rPr>
              <w:t xml:space="preserve">    答:尊敬的投资者，您好！公司持续亏损主要系BDO行业周期下行及折旧增加所致。控股股东自上市以来一直未减持股份，只在26年年初通过协议转让的方式转让了5%的股份。相关执行案件均为经营性合同纠纷，金额较小，不影响正常经营。公司目前不触及ST条件。感谢您对公司的关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Ex>
        <w:trPr>
          <w:trHeight w:val="561" w:hRule="atLeast"/>
          <w:jc w:val="center"/>
        </w:trPr>
        <w:tc>
          <w:tcPr>
            <w:tcW w:w="2580" w:type="dxa"/>
            <w:vAlign w:val="center"/>
          </w:tcPr>
          <w:p>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附件清单（如有）</w:t>
            </w:r>
          </w:p>
        </w:tc>
        <w:tc>
          <w:tcPr>
            <w:tcW w:w="6308" w:type="dxa"/>
            <w:vAlign w:val="center"/>
          </w:tcPr>
          <w:p>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eastAsia" w:ascii="宋体" w:hAnsi="宋体" w:eastAsia="宋体" w:cs="宋体"/>
                <w:sz w:val="20"/>
                <w:szCs w:val="20"/>
                <w:lang w:eastAsia="zh-CN"/>
              </w:rPr>
            </w:pPr>
            <w:r>
              <w:rPr>
                <w:rFonts w:hint="eastAsia" w:ascii="宋体" w:hAnsi="宋体" w:eastAsia="宋体" w:cs="宋体"/>
                <w:sz w:val="20"/>
                <w:szCs w:val="20"/>
                <w:lang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Ex>
        <w:trPr>
          <w:trHeight w:val="558" w:hRule="atLeast"/>
          <w:jc w:val="center"/>
        </w:trPr>
        <w:tc>
          <w:tcPr>
            <w:tcW w:w="2580" w:type="dxa"/>
            <w:vAlign w:val="center"/>
          </w:tcPr>
          <w:p>
            <w:pPr>
              <w:pStyle w:val="12"/>
              <w:spacing w:before="1"/>
              <w:ind w:left="107"/>
              <w:rPr>
                <w:rFonts w:ascii="宋体" w:hAnsi="宋体" w:eastAsia="宋体" w:cs="宋体"/>
                <w:b/>
                <w:bCs/>
                <w:sz w:val="20"/>
                <w:szCs w:val="20"/>
              </w:rPr>
            </w:pPr>
            <w:r>
              <w:rPr>
                <w:rFonts w:hint="eastAsia" w:ascii="宋体" w:hAnsi="宋体" w:eastAsia="宋体" w:cs="宋体"/>
                <w:b/>
                <w:bCs/>
                <w:sz w:val="20"/>
                <w:szCs w:val="20"/>
              </w:rPr>
              <w:t>日期</w:t>
            </w:r>
          </w:p>
        </w:tc>
        <w:tc>
          <w:tcPr>
            <w:tcW w:w="6308" w:type="dxa"/>
            <w:vAlign w:val="center"/>
          </w:tcPr>
          <w:p>
            <w:pPr>
              <w:pStyle w:val="12"/>
              <w:keepNext w:val="0"/>
              <w:keepLines w:val="0"/>
              <w:pageBreakBefore w:val="0"/>
              <w:widowControl w:val="0"/>
              <w:kinsoku/>
              <w:wordWrap/>
              <w:overflowPunct/>
              <w:topLinePunct w:val="0"/>
              <w:autoSpaceDE w:val="0"/>
              <w:autoSpaceDN w:val="0"/>
              <w:bidi w:val="0"/>
              <w:adjustRightInd/>
              <w:snapToGrid/>
              <w:spacing w:before="100" w:beforeAutospacing="1"/>
              <w:textAlignment w:val="auto"/>
              <w:rPr>
                <w:rFonts w:ascii="宋体" w:hAnsi="宋体" w:eastAsia="宋体" w:cs="宋体"/>
                <w:sz w:val="20"/>
                <w:szCs w:val="20"/>
              </w:rPr>
            </w:pPr>
            <w:r>
              <w:rPr>
                <w:rFonts w:ascii="宋体" w:hAnsi="宋体" w:eastAsia="宋体" w:cs="宋体"/>
                <w:sz w:val="20"/>
                <w:szCs w:val="20"/>
              </w:rPr>
              <w:t>2026年0</w:t>
            </w:r>
            <w:r>
              <w:rPr>
                <w:rFonts w:hint="eastAsia" w:ascii="宋体" w:hAnsi="宋体" w:eastAsia="宋体" w:cs="宋体"/>
                <w:sz w:val="20"/>
                <w:szCs w:val="20"/>
                <w:lang w:val="en-US" w:eastAsia="zh-CN"/>
              </w:rPr>
              <w:t>9</w:t>
            </w:r>
            <w:r>
              <w:rPr>
                <w:rFonts w:ascii="宋体" w:hAnsi="宋体" w:eastAsia="宋体" w:cs="宋体"/>
                <w:sz w:val="20"/>
                <w:szCs w:val="20"/>
              </w:rPr>
              <w:t>月1</w:t>
            </w:r>
            <w:r>
              <w:rPr>
                <w:rFonts w:hint="eastAsia" w:ascii="宋体" w:hAnsi="宋体" w:eastAsia="宋体" w:cs="宋体"/>
                <w:sz w:val="20"/>
                <w:szCs w:val="20"/>
                <w:lang w:val="en-US" w:eastAsia="zh-CN"/>
              </w:rPr>
              <w:t>6</w:t>
            </w:r>
            <w:r>
              <w:rPr>
                <w:rFonts w:ascii="宋体" w:hAnsi="宋体" w:eastAsia="宋体" w:cs="宋体"/>
                <w:sz w:val="20"/>
                <w:szCs w:val="20"/>
              </w:rPr>
              <w:t>日</w:t>
            </w:r>
          </w:p>
        </w:tc>
      </w:tr>
    </w:tbl>
    <w:p>
      <w:pPr>
        <w:rPr>
          <w:rFonts w:ascii="宋体" w:hAnsi="宋体" w:eastAsia="宋体" w:cs="宋体"/>
          <w:sz w:val="28"/>
          <w:szCs w:val="36"/>
        </w:rPr>
      </w:pPr>
      <w:bookmarkStart w:id="0" w:name="_GoBack"/>
      <w:bookmarkEnd w:id="0"/>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MS Gothic">
    <w:panose1 w:val="020B0609070205080204"/>
    <w:charset w:val="80"/>
    <w:family w:val="modern"/>
    <w:pitch w:val="default"/>
    <w:sig w:usb0="E00002FF" w:usb1="6AC7FDFB" w:usb2="00000012" w:usb3="00000000" w:csb0="4002009F" w:csb1="DFD7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AA6649"/>
    <w:multiLevelType w:val="singleLevel"/>
    <w:tmpl w:val="6AAA664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RlYzcyYjBhYjdiNDQ2NjdiODY5YmM2NjQ0YWRiYTU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7C530E2"/>
    <w:rsid w:val="08641132"/>
    <w:rsid w:val="09186774"/>
    <w:rsid w:val="0945438F"/>
    <w:rsid w:val="0A71587A"/>
    <w:rsid w:val="0B792C38"/>
    <w:rsid w:val="0C28640C"/>
    <w:rsid w:val="0E90599A"/>
    <w:rsid w:val="0ED720CD"/>
    <w:rsid w:val="12070CAE"/>
    <w:rsid w:val="145F688C"/>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2F8A1D9C"/>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BA96DAC"/>
    <w:rsid w:val="4C8E1CA8"/>
    <w:rsid w:val="4D6D36A4"/>
    <w:rsid w:val="510903EF"/>
    <w:rsid w:val="53F137F4"/>
    <w:rsid w:val="543A6906"/>
    <w:rsid w:val="56850CBB"/>
    <w:rsid w:val="57D46848"/>
    <w:rsid w:val="59D8738A"/>
    <w:rsid w:val="5A666D76"/>
    <w:rsid w:val="5B2253C2"/>
    <w:rsid w:val="5CF02E0F"/>
    <w:rsid w:val="603269D2"/>
    <w:rsid w:val="61A52BCA"/>
    <w:rsid w:val="66D61339"/>
    <w:rsid w:val="67095496"/>
    <w:rsid w:val="67C12575"/>
    <w:rsid w:val="67ED7463"/>
    <w:rsid w:val="681A546A"/>
    <w:rsid w:val="69CB37D4"/>
    <w:rsid w:val="6A0D5B9B"/>
    <w:rsid w:val="6A3B23B1"/>
    <w:rsid w:val="6AEA32DC"/>
    <w:rsid w:val="6CC24AB5"/>
    <w:rsid w:val="6D9271B2"/>
    <w:rsid w:val="6F134790"/>
    <w:rsid w:val="6FE81F5F"/>
    <w:rsid w:val="72446028"/>
    <w:rsid w:val="73076EC0"/>
    <w:rsid w:val="74210CA6"/>
    <w:rsid w:val="746F4E76"/>
    <w:rsid w:val="788C25F5"/>
    <w:rsid w:val="79F72AA9"/>
    <w:rsid w:val="7A144529"/>
    <w:rsid w:val="7B6C7915"/>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9">
    <w:name w:val="Default Paragraph Font"/>
    <w:unhideWhenUsed/>
    <w:qFormat/>
    <w:uiPriority w:val="1"/>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link w:val="16"/>
    <w:qFormat/>
    <w:uiPriority w:val="0"/>
    <w:rPr>
      <w:b/>
      <w:bCs/>
    </w:rPr>
  </w:style>
  <w:style w:type="paragraph" w:styleId="4">
    <w:name w:val="annotation text"/>
    <w:basedOn w:val="1"/>
    <w:link w:val="15"/>
    <w:qFormat/>
    <w:uiPriority w:val="0"/>
  </w:style>
  <w:style w:type="paragraph" w:styleId="5">
    <w:name w:val="Body Text"/>
    <w:basedOn w:val="1"/>
    <w:qFormat/>
    <w:uiPriority w:val="1"/>
    <w:pPr>
      <w:ind w:left="220"/>
    </w:pPr>
    <w:rPr>
      <w:sz w:val="32"/>
      <w:szCs w:val="32"/>
    </w:rPr>
  </w:style>
  <w:style w:type="paragraph" w:styleId="6">
    <w:name w:val="Balloon Text"/>
    <w:basedOn w:val="1"/>
    <w:link w:val="17"/>
    <w:qFormat/>
    <w:uiPriority w:val="0"/>
    <w:rPr>
      <w:sz w:val="18"/>
      <w:szCs w:val="18"/>
    </w:rPr>
  </w:style>
  <w:style w:type="paragraph" w:styleId="7">
    <w:name w:val="footer"/>
    <w:basedOn w:val="1"/>
    <w:link w:val="14"/>
    <w:qFormat/>
    <w:uiPriority w:val="0"/>
    <w:pPr>
      <w:tabs>
        <w:tab w:val="center" w:pos="4153"/>
        <w:tab w:val="right" w:pos="8306"/>
      </w:tabs>
      <w:snapToGrid w:val="0"/>
    </w:pPr>
    <w:rPr>
      <w:sz w:val="18"/>
      <w:szCs w:val="18"/>
    </w:rPr>
  </w:style>
  <w:style w:type="paragraph" w:styleId="8">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character" w:styleId="10">
    <w:name w:val="annotation reference"/>
    <w:basedOn w:val="9"/>
    <w:qFormat/>
    <w:uiPriority w:val="0"/>
    <w:rPr>
      <w:sz w:val="21"/>
      <w:szCs w:val="21"/>
    </w:rPr>
  </w:style>
  <w:style w:type="paragraph" w:customStyle="1" w:styleId="12">
    <w:name w:val="Table Paragraph"/>
    <w:basedOn w:val="1"/>
    <w:qFormat/>
    <w:uiPriority w:val="1"/>
  </w:style>
  <w:style w:type="character" w:customStyle="1" w:styleId="13">
    <w:name w:val="页眉 字符"/>
    <w:basedOn w:val="9"/>
    <w:link w:val="8"/>
    <w:qFormat/>
    <w:uiPriority w:val="0"/>
    <w:rPr>
      <w:rFonts w:ascii="仿宋" w:hAnsi="仿宋" w:eastAsia="仿宋" w:cs="仿宋"/>
      <w:sz w:val="18"/>
      <w:szCs w:val="18"/>
      <w:lang w:val="zh-CN" w:bidi="zh-CN"/>
    </w:rPr>
  </w:style>
  <w:style w:type="character" w:customStyle="1" w:styleId="14">
    <w:name w:val="页脚 字符"/>
    <w:basedOn w:val="9"/>
    <w:link w:val="7"/>
    <w:qFormat/>
    <w:uiPriority w:val="0"/>
    <w:rPr>
      <w:rFonts w:ascii="仿宋" w:hAnsi="仿宋" w:eastAsia="仿宋" w:cs="仿宋"/>
      <w:sz w:val="18"/>
      <w:szCs w:val="18"/>
      <w:lang w:val="zh-CN" w:bidi="zh-CN"/>
    </w:rPr>
  </w:style>
  <w:style w:type="character" w:customStyle="1" w:styleId="15">
    <w:name w:val="批注文字 字符"/>
    <w:basedOn w:val="9"/>
    <w:link w:val="4"/>
    <w:qFormat/>
    <w:uiPriority w:val="0"/>
    <w:rPr>
      <w:rFonts w:ascii="仿宋" w:hAnsi="仿宋" w:eastAsia="仿宋" w:cs="仿宋"/>
      <w:sz w:val="22"/>
      <w:szCs w:val="22"/>
      <w:lang w:val="zh-CN" w:bidi="zh-CN"/>
    </w:rPr>
  </w:style>
  <w:style w:type="character" w:customStyle="1" w:styleId="16">
    <w:name w:val="批注主题 字符"/>
    <w:basedOn w:val="15"/>
    <w:link w:val="3"/>
    <w:qFormat/>
    <w:uiPriority w:val="0"/>
    <w:rPr>
      <w:rFonts w:ascii="仿宋" w:hAnsi="仿宋" w:eastAsia="仿宋" w:cs="仿宋"/>
      <w:b/>
      <w:bCs/>
      <w:sz w:val="22"/>
      <w:szCs w:val="22"/>
      <w:lang w:val="zh-CN" w:bidi="zh-CN"/>
    </w:rPr>
  </w:style>
  <w:style w:type="character" w:customStyle="1" w:styleId="17">
    <w:name w:val="批注框文本 字符"/>
    <w:basedOn w:val="9"/>
    <w:link w:val="6"/>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2472</Words>
  <Characters>2604</Characters>
  <Lines>2</Lines>
  <Paragraphs>1</Paragraphs>
  <ScaleCrop>false</ScaleCrop>
  <LinksUpToDate>false</LinksUpToDate>
  <CharactersWithSpaces>2697</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2022-04-12T06:10:00Z</dcterms:created>
  <dc:creator>jie.huang</dc:creator>
  <cp:lastModifiedBy>三维股份张雷</cp:lastModifiedBy>
  <dcterms:modified xsi:type="dcterms:W3CDTF">2026-09-16T08:55:27Z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25F71FDC09F0431B99B567003EF964B0_13</vt:lpwstr>
  </property>
  <property fmtid="{D5CDD505-2E9C-101B-9397-08002B2CF9AE}" pid="4" name="KSOTemplateDocerSaveRecord">
    <vt:lpwstr>eyJoZGlkIjoiNWY3N2RjZDMxNTE2YjY0YzY5NTY5NTA0NjMwY2U4NGYiLCJ1c2VySWQiOiIxMjcxMDI2MzU0In0=</vt:lpwstr>
  </property>
</Properties>
</file>