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92EED">
      <w:pPr>
        <w:spacing w:after="156" w:afterLines="50" w:line="400" w:lineRule="exact"/>
        <w:rPr>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600018                         </w:t>
      </w:r>
      <w:r>
        <w:rPr>
          <w:rFonts w:hint="eastAsia"/>
          <w:color w:val="000000"/>
          <w:sz w:val="24"/>
        </w:rPr>
        <w:t xml:space="preserve">    </w:t>
      </w:r>
      <w:r>
        <w:rPr>
          <w:color w:val="000000"/>
          <w:sz w:val="24"/>
        </w:rPr>
        <w:t xml:space="preserve">    </w:t>
      </w:r>
      <w:r>
        <w:rPr>
          <w:rFonts w:hAnsi="宋体"/>
          <w:bCs/>
          <w:iCs/>
          <w:color w:val="000000"/>
          <w:sz w:val="24"/>
        </w:rPr>
        <w:t>证券简称：</w:t>
      </w:r>
      <w:r>
        <w:rPr>
          <w:color w:val="000000"/>
          <w:sz w:val="24"/>
        </w:rPr>
        <w:t>上港集团</w:t>
      </w:r>
    </w:p>
    <w:p w14:paraId="6281D3B7">
      <w:pPr>
        <w:spacing w:line="400" w:lineRule="exact"/>
        <w:jc w:val="center"/>
        <w:rPr>
          <w:rFonts w:hint="eastAsia" w:ascii="宋体" w:hAnsi="宋体"/>
          <w:b/>
          <w:bCs/>
          <w:iCs/>
          <w:color w:val="000000"/>
          <w:sz w:val="32"/>
          <w:szCs w:val="32"/>
        </w:rPr>
      </w:pPr>
      <w:r>
        <w:rPr>
          <w:rFonts w:ascii="宋体" w:hAnsi="宋体"/>
          <w:b/>
          <w:bCs/>
          <w:iCs/>
          <w:color w:val="000000"/>
          <w:sz w:val="32"/>
          <w:szCs w:val="32"/>
        </w:rPr>
        <w:t>上海国际港务(集团)股份有限公司</w:t>
      </w:r>
    </w:p>
    <w:p w14:paraId="326B581B">
      <w:pPr>
        <w:spacing w:line="400" w:lineRule="exact"/>
        <w:jc w:val="center"/>
        <w:rPr>
          <w:rFonts w:ascii="宋体" w:hAnsi="宋体"/>
          <w:b/>
          <w:bCs/>
          <w:iCs/>
          <w:color w:val="000000"/>
          <w:sz w:val="32"/>
          <w:szCs w:val="32"/>
        </w:rPr>
      </w:pPr>
      <w:r>
        <w:rPr>
          <w:rFonts w:hint="eastAsia" w:ascii="宋体" w:hAnsi="宋体"/>
          <w:b/>
          <w:bCs/>
          <w:iCs/>
          <w:color w:val="000000"/>
          <w:sz w:val="32"/>
          <w:szCs w:val="32"/>
        </w:rPr>
        <w:t>投资者关系活动记录表</w:t>
      </w:r>
    </w:p>
    <w:p w14:paraId="4D963E4C">
      <w:pPr>
        <w:spacing w:line="400" w:lineRule="exact"/>
        <w:rPr>
          <w:bCs/>
          <w:iCs/>
          <w:color w:val="000000"/>
          <w:sz w:val="24"/>
        </w:rPr>
      </w:pPr>
      <w:r>
        <w:rPr>
          <w:rFonts w:hint="eastAsia" w:ascii="宋体" w:hAnsi="宋体"/>
          <w:bCs/>
          <w:iCs/>
          <w:color w:val="000000"/>
          <w:sz w:val="24"/>
        </w:rPr>
        <w:t xml:space="preserve">                                                     </w:t>
      </w:r>
    </w:p>
    <w:tbl>
      <w:tblPr>
        <w:tblStyle w:val="6"/>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7229"/>
      </w:tblGrid>
      <w:tr w14:paraId="1EB4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A2999E9">
            <w:pPr>
              <w:spacing w:line="42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投资者关系活动类别</w:t>
            </w:r>
          </w:p>
          <w:p w14:paraId="28327DB7">
            <w:pPr>
              <w:spacing w:line="420" w:lineRule="exact"/>
              <w:rPr>
                <w:rFonts w:asciiTheme="minorEastAsia" w:hAnsiTheme="minorEastAsia" w:eastAsiaTheme="minorEastAsia"/>
                <w:bCs/>
                <w:iCs/>
                <w:color w:val="000000"/>
                <w:sz w:val="24"/>
              </w:rPr>
            </w:pPr>
          </w:p>
        </w:tc>
        <w:tc>
          <w:tcPr>
            <w:tcW w:w="7229" w:type="dxa"/>
            <w:tcBorders>
              <w:top w:val="single" w:color="auto" w:sz="4" w:space="0"/>
              <w:left w:val="single" w:color="auto" w:sz="4" w:space="0"/>
              <w:bottom w:val="single" w:color="auto" w:sz="4" w:space="0"/>
              <w:right w:val="single" w:color="auto" w:sz="4" w:space="0"/>
            </w:tcBorders>
          </w:tcPr>
          <w:p w14:paraId="41AAB898">
            <w:pPr>
              <w:spacing w:line="340" w:lineRule="exact"/>
              <w:rPr>
                <w:rFonts w:asciiTheme="minorEastAsia" w:hAnsiTheme="minorEastAsia" w:eastAsiaTheme="minorEastAsia"/>
                <w:bCs/>
                <w:iCs/>
                <w:color w:val="000000"/>
                <w:sz w:val="24"/>
              </w:rPr>
            </w:pPr>
            <w:r>
              <w:rPr>
                <w:rFonts w:asciiTheme="minorEastAsia" w:hAnsiTheme="minorEastAsia" w:eastAsiaTheme="minorEastAsia"/>
                <w:bCs/>
                <w:iCs/>
                <w:color w:val="000000"/>
                <w:kern w:val="0"/>
                <w:sz w:val="24"/>
              </w:rPr>
              <w:t>□</w:t>
            </w:r>
            <w:r>
              <w:rPr>
                <w:rFonts w:asciiTheme="minorEastAsia" w:hAnsiTheme="minorEastAsia" w:eastAsiaTheme="minorEastAsia"/>
                <w:kern w:val="0"/>
                <w:sz w:val="24"/>
              </w:rPr>
              <w:t xml:space="preserve">特定对象调研       </w:t>
            </w:r>
            <w:r>
              <w:rPr>
                <w:rFonts w:hint="eastAsia" w:asciiTheme="minorEastAsia" w:hAnsiTheme="minorEastAsia" w:eastAsiaTheme="minorEastAsia"/>
                <w:kern w:val="0"/>
                <w:sz w:val="24"/>
              </w:rPr>
              <w:t xml:space="preserve"> </w:t>
            </w:r>
            <w:r>
              <w:rPr>
                <w:rFonts w:asciiTheme="minorEastAsia" w:hAnsiTheme="minorEastAsia" w:eastAsiaTheme="minorEastAsia"/>
                <w:kern w:val="0"/>
                <w:sz w:val="24"/>
              </w:rPr>
              <w:t xml:space="preserve"> </w:t>
            </w:r>
            <w:r>
              <w:rPr>
                <w:rFonts w:asciiTheme="minorEastAsia" w:hAnsiTheme="minorEastAsia" w:eastAsiaTheme="minorEastAsia"/>
                <w:bCs/>
                <w:iCs/>
                <w:color w:val="000000"/>
                <w:kern w:val="0"/>
                <w:sz w:val="24"/>
              </w:rPr>
              <w:t>□</w:t>
            </w:r>
            <w:r>
              <w:rPr>
                <w:rFonts w:hint="eastAsia" w:asciiTheme="minorEastAsia" w:hAnsiTheme="minorEastAsia" w:eastAsiaTheme="minorEastAsia"/>
                <w:bCs/>
                <w:iCs/>
                <w:color w:val="000000"/>
                <w:kern w:val="0"/>
                <w:sz w:val="24"/>
              </w:rPr>
              <w:t xml:space="preserve"> </w:t>
            </w:r>
            <w:r>
              <w:rPr>
                <w:rFonts w:asciiTheme="minorEastAsia" w:hAnsiTheme="minorEastAsia" w:eastAsiaTheme="minorEastAsia"/>
                <w:kern w:val="0"/>
                <w:sz w:val="24"/>
              </w:rPr>
              <w:t>分析师会议</w:t>
            </w:r>
          </w:p>
          <w:p w14:paraId="72132B09">
            <w:pPr>
              <w:spacing w:line="34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w:t>
            </w:r>
            <w:r>
              <w:rPr>
                <w:rFonts w:hint="eastAsia" w:asciiTheme="minorEastAsia" w:hAnsiTheme="minorEastAsia" w:eastAsiaTheme="minorEastAsia"/>
                <w:bCs/>
                <w:iCs/>
                <w:color w:val="000000"/>
                <w:kern w:val="0"/>
                <w:sz w:val="24"/>
              </w:rPr>
              <w:t xml:space="preserve"> </w:t>
            </w:r>
            <w:r>
              <w:rPr>
                <w:rFonts w:asciiTheme="minorEastAsia" w:hAnsiTheme="minorEastAsia" w:eastAsiaTheme="minorEastAsia"/>
                <w:kern w:val="0"/>
                <w:sz w:val="24"/>
              </w:rPr>
              <w:t xml:space="preserve">媒体采访            </w:t>
            </w:r>
            <w:r>
              <w:rPr>
                <w:rFonts w:asciiTheme="minorEastAsia" w:hAnsiTheme="minorEastAsia" w:eastAsiaTheme="minorEastAsia"/>
                <w:bCs/>
                <w:iCs/>
                <w:color w:val="000000"/>
                <w:kern w:val="0"/>
                <w:sz w:val="24"/>
              </w:rPr>
              <w:t>√</w:t>
            </w:r>
            <w:r>
              <w:rPr>
                <w:rFonts w:hint="eastAsia" w:asciiTheme="minorEastAsia" w:hAnsiTheme="minorEastAsia" w:eastAsiaTheme="minorEastAsia"/>
                <w:bCs/>
                <w:iCs/>
                <w:color w:val="000000"/>
                <w:kern w:val="0"/>
                <w:sz w:val="24"/>
              </w:rPr>
              <w:t xml:space="preserve"> </w:t>
            </w:r>
            <w:r>
              <w:rPr>
                <w:rFonts w:asciiTheme="minorEastAsia" w:hAnsiTheme="minorEastAsia" w:eastAsiaTheme="minorEastAsia"/>
                <w:kern w:val="0"/>
                <w:sz w:val="24"/>
              </w:rPr>
              <w:t>业绩说明会</w:t>
            </w:r>
          </w:p>
          <w:p w14:paraId="3C5BA591">
            <w:pPr>
              <w:spacing w:line="34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w:t>
            </w:r>
            <w:r>
              <w:rPr>
                <w:rFonts w:hint="eastAsia" w:asciiTheme="minorEastAsia" w:hAnsiTheme="minorEastAsia" w:eastAsiaTheme="minorEastAsia"/>
                <w:bCs/>
                <w:iCs/>
                <w:color w:val="000000"/>
                <w:kern w:val="0"/>
                <w:sz w:val="24"/>
              </w:rPr>
              <w:t xml:space="preserve"> </w:t>
            </w:r>
            <w:r>
              <w:rPr>
                <w:rFonts w:asciiTheme="minorEastAsia" w:hAnsiTheme="minorEastAsia" w:eastAsiaTheme="minorEastAsia"/>
                <w:kern w:val="0"/>
                <w:sz w:val="24"/>
              </w:rPr>
              <w:t xml:space="preserve">新闻发布会          </w:t>
            </w:r>
            <w:r>
              <w:rPr>
                <w:rFonts w:asciiTheme="minorEastAsia" w:hAnsiTheme="minorEastAsia" w:eastAsiaTheme="minorEastAsia"/>
                <w:bCs/>
                <w:iCs/>
                <w:color w:val="000000"/>
                <w:kern w:val="0"/>
                <w:sz w:val="24"/>
              </w:rPr>
              <w:t>□</w:t>
            </w:r>
            <w:r>
              <w:rPr>
                <w:rFonts w:hint="eastAsia" w:asciiTheme="minorEastAsia" w:hAnsiTheme="minorEastAsia" w:eastAsiaTheme="minorEastAsia"/>
                <w:bCs/>
                <w:iCs/>
                <w:color w:val="000000"/>
                <w:kern w:val="0"/>
                <w:sz w:val="24"/>
              </w:rPr>
              <w:t xml:space="preserve"> </w:t>
            </w:r>
            <w:r>
              <w:rPr>
                <w:rFonts w:asciiTheme="minorEastAsia" w:hAnsiTheme="minorEastAsia" w:eastAsiaTheme="minorEastAsia"/>
                <w:kern w:val="0"/>
                <w:sz w:val="24"/>
              </w:rPr>
              <w:t>路演活动</w:t>
            </w:r>
          </w:p>
          <w:p w14:paraId="1EE6DF02">
            <w:pPr>
              <w:tabs>
                <w:tab w:val="left" w:pos="3045"/>
                <w:tab w:val="center" w:pos="3199"/>
              </w:tabs>
              <w:spacing w:line="34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w:t>
            </w:r>
            <w:r>
              <w:rPr>
                <w:rFonts w:hint="eastAsia" w:asciiTheme="minorEastAsia" w:hAnsiTheme="minorEastAsia" w:eastAsiaTheme="minorEastAsia"/>
                <w:bCs/>
                <w:iCs/>
                <w:color w:val="000000"/>
                <w:kern w:val="0"/>
                <w:sz w:val="24"/>
              </w:rPr>
              <w:t xml:space="preserve"> </w:t>
            </w:r>
            <w:r>
              <w:rPr>
                <w:rFonts w:asciiTheme="minorEastAsia" w:hAnsiTheme="minorEastAsia" w:eastAsiaTheme="minorEastAsia"/>
                <w:kern w:val="0"/>
                <w:sz w:val="24"/>
              </w:rPr>
              <w:t>现场参观</w:t>
            </w:r>
            <w:r>
              <w:rPr>
                <w:rFonts w:asciiTheme="minorEastAsia" w:hAnsiTheme="minorEastAsia" w:eastAsiaTheme="minorEastAsia"/>
                <w:bCs/>
                <w:iCs/>
                <w:color w:val="000000"/>
                <w:kern w:val="0"/>
                <w:sz w:val="24"/>
              </w:rPr>
              <w:tab/>
            </w:r>
          </w:p>
          <w:p w14:paraId="29617F9F">
            <w:pPr>
              <w:tabs>
                <w:tab w:val="center" w:pos="3199"/>
              </w:tabs>
              <w:spacing w:line="340" w:lineRule="exact"/>
              <w:rPr>
                <w:rFonts w:asciiTheme="minorEastAsia" w:hAnsiTheme="minorEastAsia" w:eastAsiaTheme="minorEastAsia"/>
                <w:bCs/>
                <w:iCs/>
                <w:color w:val="000000"/>
                <w:sz w:val="24"/>
              </w:rPr>
            </w:pPr>
            <w:r>
              <w:rPr>
                <w:rFonts w:asciiTheme="minorEastAsia" w:hAnsiTheme="minorEastAsia" w:eastAsiaTheme="minorEastAsia"/>
                <w:bCs/>
                <w:iCs/>
                <w:color w:val="000000"/>
                <w:kern w:val="0"/>
                <w:sz w:val="24"/>
              </w:rPr>
              <w:t>□</w:t>
            </w:r>
            <w:r>
              <w:rPr>
                <w:rFonts w:hint="eastAsia" w:asciiTheme="minorEastAsia" w:hAnsiTheme="minorEastAsia" w:eastAsiaTheme="minorEastAsia"/>
                <w:bCs/>
                <w:iCs/>
                <w:color w:val="000000"/>
                <w:kern w:val="0"/>
                <w:sz w:val="24"/>
              </w:rPr>
              <w:t xml:space="preserve"> </w:t>
            </w:r>
            <w:r>
              <w:rPr>
                <w:rFonts w:asciiTheme="minorEastAsia" w:hAnsiTheme="minorEastAsia" w:eastAsiaTheme="minorEastAsia"/>
                <w:kern w:val="0"/>
                <w:sz w:val="24"/>
              </w:rPr>
              <w:t>其他 （</w:t>
            </w:r>
            <w:r>
              <w:rPr>
                <w:rFonts w:asciiTheme="minorEastAsia" w:hAnsiTheme="minorEastAsia" w:eastAsiaTheme="minorEastAsia"/>
                <w:kern w:val="0"/>
                <w:sz w:val="24"/>
                <w:u w:val="single"/>
              </w:rPr>
              <w:t>请文字说明其他活动内容）</w:t>
            </w:r>
          </w:p>
        </w:tc>
      </w:tr>
      <w:tr w14:paraId="14AC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7B5E586">
            <w:pPr>
              <w:spacing w:line="42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参与人员</w:t>
            </w:r>
          </w:p>
        </w:tc>
        <w:tc>
          <w:tcPr>
            <w:tcW w:w="7229" w:type="dxa"/>
            <w:tcBorders>
              <w:top w:val="single" w:color="auto" w:sz="4" w:space="0"/>
              <w:left w:val="single" w:color="auto" w:sz="4" w:space="0"/>
              <w:bottom w:val="single" w:color="auto" w:sz="4" w:space="0"/>
              <w:right w:val="single" w:color="auto" w:sz="4" w:space="0"/>
            </w:tcBorders>
            <w:vAlign w:val="center"/>
          </w:tcPr>
          <w:p w14:paraId="245E8849">
            <w:pPr>
              <w:spacing w:line="420" w:lineRule="exact"/>
              <w:rPr>
                <w:rFonts w:asciiTheme="minorEastAsia" w:hAnsiTheme="minorEastAsia" w:eastAsiaTheme="minorEastAsia"/>
                <w:bCs/>
                <w:iCs/>
                <w:color w:val="000000"/>
                <w:sz w:val="24"/>
                <w:lang w:val="en-GB"/>
              </w:rPr>
            </w:pPr>
            <w:r>
              <w:rPr>
                <w:rFonts w:hint="eastAsia" w:asciiTheme="minorEastAsia" w:hAnsiTheme="minorEastAsia" w:eastAsiaTheme="minorEastAsia"/>
                <w:bCs/>
                <w:iCs/>
                <w:color w:val="000000"/>
                <w:sz w:val="24"/>
              </w:rPr>
              <w:t>参与公司</w:t>
            </w:r>
            <w:r>
              <w:rPr>
                <w:rFonts w:asciiTheme="minorEastAsia" w:hAnsiTheme="minorEastAsia" w:eastAsiaTheme="minorEastAsia"/>
                <w:bCs/>
                <w:iCs/>
                <w:color w:val="000000"/>
                <w:sz w:val="24"/>
              </w:rPr>
              <w:t>202</w:t>
            </w:r>
            <w:r>
              <w:rPr>
                <w:rFonts w:hint="eastAsia" w:asciiTheme="minorEastAsia" w:hAnsiTheme="minorEastAsia" w:eastAsiaTheme="minorEastAsia"/>
                <w:bCs/>
                <w:iCs/>
                <w:color w:val="000000"/>
                <w:sz w:val="24"/>
                <w:lang w:val="en-US" w:eastAsia="zh-CN"/>
              </w:rPr>
              <w:t>6</w:t>
            </w:r>
            <w:r>
              <w:rPr>
                <w:rFonts w:hint="eastAsia" w:asciiTheme="minorEastAsia" w:hAnsiTheme="minorEastAsia" w:eastAsiaTheme="minorEastAsia"/>
                <w:bCs/>
                <w:iCs/>
                <w:color w:val="000000"/>
                <w:sz w:val="24"/>
              </w:rPr>
              <w:t>年中报业绩说明会的投资者</w:t>
            </w:r>
          </w:p>
        </w:tc>
      </w:tr>
      <w:tr w14:paraId="0D5D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F7854C0">
            <w:pPr>
              <w:spacing w:line="42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会议时间</w:t>
            </w:r>
          </w:p>
        </w:tc>
        <w:tc>
          <w:tcPr>
            <w:tcW w:w="7229" w:type="dxa"/>
            <w:tcBorders>
              <w:top w:val="single" w:color="auto" w:sz="4" w:space="0"/>
              <w:left w:val="single" w:color="auto" w:sz="4" w:space="0"/>
              <w:bottom w:val="single" w:color="auto" w:sz="4" w:space="0"/>
              <w:right w:val="single" w:color="auto" w:sz="4" w:space="0"/>
            </w:tcBorders>
          </w:tcPr>
          <w:p w14:paraId="2751C160">
            <w:pPr>
              <w:spacing w:line="420" w:lineRule="exact"/>
              <w:rPr>
                <w:rFonts w:asciiTheme="minorEastAsia" w:hAnsiTheme="minorEastAsia" w:eastAsiaTheme="minorEastAsia"/>
                <w:bCs/>
                <w:iCs/>
                <w:color w:val="000000"/>
                <w:sz w:val="24"/>
              </w:rPr>
            </w:pPr>
            <w:r>
              <w:rPr>
                <w:rFonts w:asciiTheme="minorEastAsia" w:hAnsiTheme="minorEastAsia" w:eastAsiaTheme="minorEastAsia"/>
                <w:bCs/>
                <w:iCs/>
                <w:color w:val="000000"/>
                <w:sz w:val="24"/>
              </w:rPr>
              <w:t>202</w:t>
            </w:r>
            <w:r>
              <w:rPr>
                <w:rFonts w:hint="eastAsia" w:asciiTheme="minorEastAsia" w:hAnsiTheme="minorEastAsia" w:eastAsiaTheme="minorEastAsia"/>
                <w:bCs/>
                <w:iCs/>
                <w:color w:val="000000"/>
                <w:sz w:val="24"/>
                <w:lang w:val="en-US" w:eastAsia="zh-CN"/>
              </w:rPr>
              <w:t>6</w:t>
            </w:r>
            <w:r>
              <w:rPr>
                <w:rFonts w:asciiTheme="minorEastAsia" w:hAnsiTheme="minorEastAsia" w:eastAsiaTheme="minorEastAsia"/>
                <w:bCs/>
                <w:iCs/>
                <w:color w:val="000000"/>
                <w:sz w:val="24"/>
              </w:rPr>
              <w:t>年9月1</w:t>
            </w:r>
            <w:r>
              <w:rPr>
                <w:rFonts w:hint="eastAsia" w:asciiTheme="minorEastAsia" w:hAnsiTheme="minorEastAsia" w:eastAsiaTheme="minorEastAsia"/>
                <w:bCs/>
                <w:iCs/>
                <w:color w:val="000000"/>
                <w:sz w:val="24"/>
                <w:lang w:val="en-US" w:eastAsia="zh-CN"/>
              </w:rPr>
              <w:t>6</w:t>
            </w:r>
            <w:r>
              <w:rPr>
                <w:rFonts w:asciiTheme="minorEastAsia" w:hAnsiTheme="minorEastAsia" w:eastAsiaTheme="minorEastAsia"/>
                <w:bCs/>
                <w:iCs/>
                <w:color w:val="000000"/>
                <w:sz w:val="24"/>
              </w:rPr>
              <w:t>日 (周</w:t>
            </w:r>
            <w:r>
              <w:rPr>
                <w:rFonts w:hint="eastAsia" w:asciiTheme="minorEastAsia" w:hAnsiTheme="minorEastAsia" w:eastAsiaTheme="minorEastAsia"/>
                <w:bCs/>
                <w:iCs/>
                <w:color w:val="000000"/>
                <w:sz w:val="24"/>
                <w:lang w:val="en-US" w:eastAsia="zh-CN"/>
              </w:rPr>
              <w:t>三</w:t>
            </w:r>
            <w:r>
              <w:rPr>
                <w:rFonts w:asciiTheme="minorEastAsia" w:hAnsiTheme="minorEastAsia" w:eastAsiaTheme="minorEastAsia"/>
                <w:bCs/>
                <w:iCs/>
                <w:color w:val="000000"/>
                <w:sz w:val="24"/>
              </w:rPr>
              <w:t>) 下午 1</w:t>
            </w:r>
            <w:r>
              <w:rPr>
                <w:rFonts w:hint="eastAsia" w:asciiTheme="minorEastAsia" w:hAnsiTheme="minorEastAsia" w:eastAsiaTheme="minorEastAsia"/>
                <w:bCs/>
                <w:iCs/>
                <w:color w:val="000000"/>
                <w:sz w:val="24"/>
                <w:lang w:val="en-US" w:eastAsia="zh-CN"/>
              </w:rPr>
              <w:t>5</w:t>
            </w:r>
            <w:r>
              <w:rPr>
                <w:rFonts w:asciiTheme="minorEastAsia" w:hAnsiTheme="minorEastAsia" w:eastAsiaTheme="minorEastAsia"/>
                <w:bCs/>
                <w:iCs/>
                <w:color w:val="000000"/>
                <w:sz w:val="24"/>
              </w:rPr>
              <w:t>:00</w:t>
            </w:r>
            <w:r>
              <w:rPr>
                <w:rFonts w:hint="eastAsia" w:asciiTheme="minorEastAsia" w:hAnsiTheme="minorEastAsia" w:eastAsiaTheme="minorEastAsia"/>
                <w:bCs/>
                <w:iCs/>
                <w:color w:val="000000"/>
                <w:sz w:val="24"/>
                <w:lang w:val="en-US" w:eastAsia="zh-CN"/>
              </w:rPr>
              <w:t>-17</w:t>
            </w:r>
            <w:r>
              <w:rPr>
                <w:rFonts w:asciiTheme="minorEastAsia" w:hAnsiTheme="minorEastAsia" w:eastAsiaTheme="minorEastAsia"/>
                <w:bCs/>
                <w:iCs/>
                <w:color w:val="000000"/>
                <w:sz w:val="24"/>
              </w:rPr>
              <w:t>:</w:t>
            </w:r>
            <w:r>
              <w:rPr>
                <w:rFonts w:hint="eastAsia" w:asciiTheme="minorEastAsia" w:hAnsiTheme="minorEastAsia" w:eastAsiaTheme="minorEastAsia"/>
                <w:bCs/>
                <w:iCs/>
                <w:color w:val="000000"/>
                <w:sz w:val="24"/>
                <w:lang w:val="en-US" w:eastAsia="zh-CN"/>
              </w:rPr>
              <w:t>0</w:t>
            </w:r>
            <w:r>
              <w:rPr>
                <w:rFonts w:asciiTheme="minorEastAsia" w:hAnsiTheme="minorEastAsia" w:eastAsiaTheme="minorEastAsia"/>
                <w:bCs/>
                <w:iCs/>
                <w:color w:val="000000"/>
                <w:sz w:val="24"/>
              </w:rPr>
              <w:t>0</w:t>
            </w:r>
          </w:p>
        </w:tc>
      </w:tr>
      <w:tr w14:paraId="1CCD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2A8B818">
            <w:pPr>
              <w:spacing w:line="42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会议地点</w:t>
            </w:r>
          </w:p>
        </w:tc>
        <w:tc>
          <w:tcPr>
            <w:tcW w:w="7229" w:type="dxa"/>
            <w:tcBorders>
              <w:top w:val="single" w:color="auto" w:sz="4" w:space="0"/>
              <w:left w:val="single" w:color="auto" w:sz="4" w:space="0"/>
              <w:bottom w:val="single" w:color="auto" w:sz="4" w:space="0"/>
              <w:right w:val="single" w:color="auto" w:sz="4" w:space="0"/>
            </w:tcBorders>
          </w:tcPr>
          <w:p w14:paraId="09ADB3DF">
            <w:pPr>
              <w:spacing w:line="420" w:lineRule="exact"/>
              <w:rPr>
                <w:rFonts w:asciiTheme="minorEastAsia" w:hAnsiTheme="minorEastAsia" w:eastAsiaTheme="minorEastAsia"/>
                <w:bCs/>
                <w:iCs/>
                <w:color w:val="000000"/>
                <w:sz w:val="24"/>
              </w:rPr>
            </w:pPr>
            <w:r>
              <w:rPr>
                <w:rFonts w:asciiTheme="minorEastAsia" w:hAnsiTheme="minorEastAsia" w:eastAsiaTheme="minorEastAsia"/>
                <w:sz w:val="24"/>
              </w:rPr>
              <w:t>通过</w:t>
            </w:r>
            <w:r>
              <w:rPr>
                <w:rFonts w:hint="eastAsia" w:asciiTheme="minorEastAsia" w:hAnsiTheme="minorEastAsia" w:eastAsiaTheme="minorEastAsia"/>
                <w:bCs/>
                <w:sz w:val="24"/>
              </w:rPr>
              <w:t>全景网“</w:t>
            </w:r>
            <w:r>
              <w:rPr>
                <w:rFonts w:cs="宋体" w:asciiTheme="minorEastAsia" w:hAnsiTheme="minorEastAsia" w:eastAsiaTheme="minorEastAsia"/>
                <w:sz w:val="24"/>
              </w:rPr>
              <w:t>投资者关系互动平台</w:t>
            </w:r>
            <w:r>
              <w:rPr>
                <w:rFonts w:hint="eastAsia" w:asciiTheme="minorEastAsia" w:hAnsiTheme="minorEastAsia" w:eastAsiaTheme="minorEastAsia"/>
                <w:bCs/>
                <w:sz w:val="24"/>
              </w:rPr>
              <w:t>”（http</w:t>
            </w:r>
            <w:r>
              <w:rPr>
                <w:rFonts w:asciiTheme="minorEastAsia" w:hAnsiTheme="minorEastAsia" w:eastAsiaTheme="minorEastAsia"/>
                <w:bCs/>
                <w:sz w:val="24"/>
              </w:rPr>
              <w:t>s</w:t>
            </w:r>
            <w:r>
              <w:rPr>
                <w:rFonts w:hint="eastAsia" w:asciiTheme="minorEastAsia" w:hAnsiTheme="minorEastAsia" w:eastAsiaTheme="minorEastAsia"/>
                <w:bCs/>
                <w:sz w:val="24"/>
              </w:rPr>
              <w:t>://ir.p5w.net）采用网络远程的方式</w:t>
            </w:r>
            <w:r>
              <w:rPr>
                <w:rFonts w:asciiTheme="minorEastAsia" w:hAnsiTheme="minorEastAsia" w:eastAsiaTheme="minorEastAsia"/>
                <w:sz w:val="24"/>
              </w:rPr>
              <w:t>召开</w:t>
            </w:r>
            <w:r>
              <w:rPr>
                <w:rFonts w:hint="eastAsia" w:asciiTheme="minorEastAsia" w:hAnsiTheme="minorEastAsia" w:eastAsiaTheme="minorEastAsia"/>
                <w:sz w:val="24"/>
              </w:rPr>
              <w:t>业绩</w:t>
            </w:r>
            <w:r>
              <w:rPr>
                <w:rFonts w:asciiTheme="minorEastAsia" w:hAnsiTheme="minorEastAsia" w:eastAsiaTheme="minorEastAsia"/>
                <w:sz w:val="24"/>
              </w:rPr>
              <w:t>说明会</w:t>
            </w:r>
          </w:p>
        </w:tc>
      </w:tr>
      <w:tr w14:paraId="2EB7D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CACF69F">
            <w:pPr>
              <w:spacing w:line="420" w:lineRule="exact"/>
              <w:rPr>
                <w:rFonts w:hint="eastAsia"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公司接待</w:t>
            </w:r>
          </w:p>
          <w:p w14:paraId="4B3E2EC5">
            <w:pPr>
              <w:spacing w:line="42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人员姓名</w:t>
            </w:r>
          </w:p>
        </w:tc>
        <w:tc>
          <w:tcPr>
            <w:tcW w:w="7229" w:type="dxa"/>
            <w:tcBorders>
              <w:top w:val="single" w:color="auto" w:sz="4" w:space="0"/>
              <w:left w:val="single" w:color="auto" w:sz="4" w:space="0"/>
              <w:bottom w:val="single" w:color="auto" w:sz="4" w:space="0"/>
              <w:right w:val="single" w:color="auto" w:sz="4" w:space="0"/>
            </w:tcBorders>
            <w:vAlign w:val="center"/>
          </w:tcPr>
          <w:p w14:paraId="38EB14EA">
            <w:pPr>
              <w:spacing w:line="420" w:lineRule="exact"/>
              <w:rPr>
                <w:rFonts w:asciiTheme="minorEastAsia" w:hAnsiTheme="minorEastAsia" w:eastAsiaTheme="minorEastAsia"/>
                <w:bCs/>
                <w:sz w:val="24"/>
              </w:rPr>
            </w:pPr>
            <w:r>
              <w:rPr>
                <w:rFonts w:hint="eastAsia" w:asciiTheme="minorEastAsia" w:hAnsiTheme="minorEastAsia" w:eastAsiaTheme="minorEastAsia"/>
                <w:bCs/>
                <w:sz w:val="24"/>
              </w:rPr>
              <w:t>公司董事、总裁宋晓东先生，独立董事</w:t>
            </w:r>
            <w:r>
              <w:rPr>
                <w:rFonts w:hint="eastAsia" w:asciiTheme="minorEastAsia" w:hAnsiTheme="minorEastAsia" w:eastAsiaTheme="minorEastAsia"/>
                <w:bCs/>
                <w:sz w:val="24"/>
                <w:lang w:val="en-US" w:eastAsia="zh-CN"/>
              </w:rPr>
              <w:t>宋旭明</w:t>
            </w:r>
            <w:r>
              <w:rPr>
                <w:rFonts w:hint="eastAsia" w:asciiTheme="minorEastAsia" w:hAnsiTheme="minorEastAsia" w:eastAsiaTheme="minorEastAsia"/>
                <w:bCs/>
                <w:sz w:val="24"/>
              </w:rPr>
              <w:t>先生</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lang w:val="en-US" w:eastAsia="zh-CN"/>
              </w:rPr>
              <w:t>唐松先生</w:t>
            </w:r>
            <w:r>
              <w:rPr>
                <w:rFonts w:hint="eastAsia" w:asciiTheme="minorEastAsia" w:hAnsiTheme="minorEastAsia" w:eastAsiaTheme="minorEastAsia"/>
                <w:bCs/>
                <w:sz w:val="24"/>
              </w:rPr>
              <w:t>，副总裁</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rPr>
              <w:t>董事会秘书杨智勇先生，资产财务部总经理姜丽丽女士</w:t>
            </w:r>
          </w:p>
        </w:tc>
      </w:tr>
      <w:tr w14:paraId="30FAD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4D81376A">
            <w:pPr>
              <w:spacing w:line="420" w:lineRule="exact"/>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投资者关系活动主要内容介绍</w:t>
            </w:r>
          </w:p>
          <w:p w14:paraId="3FFDEE90">
            <w:pPr>
              <w:spacing w:line="420" w:lineRule="exact"/>
              <w:rPr>
                <w:rFonts w:asciiTheme="minorEastAsia" w:hAnsiTheme="minorEastAsia" w:eastAsiaTheme="minorEastAsia"/>
                <w:bCs/>
                <w:iCs/>
                <w:color w:val="000000"/>
                <w:sz w:val="24"/>
              </w:rPr>
            </w:pPr>
          </w:p>
        </w:tc>
        <w:tc>
          <w:tcPr>
            <w:tcW w:w="7229" w:type="dxa"/>
            <w:tcBorders>
              <w:top w:val="single" w:color="auto" w:sz="4" w:space="0"/>
              <w:left w:val="single" w:color="auto" w:sz="4" w:space="0"/>
              <w:bottom w:val="single" w:color="auto" w:sz="4" w:space="0"/>
              <w:right w:val="single" w:color="auto" w:sz="4" w:space="0"/>
            </w:tcBorders>
          </w:tcPr>
          <w:p w14:paraId="0F2B381D">
            <w:pPr>
              <w:snapToGrid w:val="0"/>
              <w:spacing w:line="300" w:lineRule="auto"/>
              <w:rPr>
                <w:rFonts w:asciiTheme="minorEastAsia" w:hAnsiTheme="minorEastAsia" w:eastAsiaTheme="minorEastAsia"/>
                <w:sz w:val="24"/>
              </w:rPr>
            </w:pPr>
            <w:r>
              <w:rPr>
                <w:rFonts w:asciiTheme="minorEastAsia" w:hAnsiTheme="minorEastAsia" w:eastAsiaTheme="minorEastAsia"/>
                <w:sz w:val="24"/>
              </w:rPr>
              <w:t>投资者提出的问题及公司回复情况：</w:t>
            </w:r>
          </w:p>
          <w:p w14:paraId="6671B5B3">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1、</w:t>
            </w:r>
            <w:r>
              <w:rPr>
                <w:rFonts w:hint="eastAsia" w:asciiTheme="minorEastAsia" w:hAnsiTheme="minorEastAsia" w:eastAsiaTheme="minorEastAsia"/>
                <w:b w:val="0"/>
                <w:bCs/>
                <w:sz w:val="24"/>
                <w:szCs w:val="24"/>
              </w:rPr>
              <w:t>杨总您好！公司当前PE仅约9倍、PB约0.9倍，估值处于历史低位。结合上半年LNG与绿色甲醇加注量大幅增长、海铁联运专列扩容等新业务进入兑现期，公司在下半年的投资者关系管理上，是否有计划通过举办反向路演或增加机构调研频次，向市场更充分地传递公司在绿色航运供应链及长江战略上的长期价值，以推动估值修复？</w:t>
            </w:r>
          </w:p>
          <w:p w14:paraId="505A5CE6">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公司将持续通过业绩说明会、投资者热线、上证e互动、现场调研等多种方式，不断增加各类投资者的调研频次，与广大投资者进行沟通和交流，有效传递公司发展价值。感谢您对公司的关注，敬请注意投资风险。</w:t>
            </w:r>
          </w:p>
          <w:p w14:paraId="172FE87D">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2、</w:t>
            </w:r>
            <w:r>
              <w:rPr>
                <w:rFonts w:hint="eastAsia" w:asciiTheme="minorEastAsia" w:hAnsiTheme="minorEastAsia" w:eastAsiaTheme="minorEastAsia"/>
                <w:b w:val="0"/>
                <w:bCs/>
                <w:sz w:val="24"/>
                <w:szCs w:val="24"/>
              </w:rPr>
              <w:t>姜总您好！仔细研读财报发现，公司上半年使用权资产摊销金额从上年同期的3.82亿元大幅增长至9.65亿元。请问这部分大幅增加的成本是否大部分已列入营业成本？这是否也是导致上半年集装箱板块毛利率同比微降2.9个百分点的核心原因？此外，上半年公司拟每10股派0.5元，分红率仅约13.7，请问未来是否有进一步提升分红比例或实施股份回购的计划？</w:t>
            </w:r>
          </w:p>
          <w:p w14:paraId="14507574">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公司于本报告期租赁洋山四期码头经营性资产，将确认的使用权资产折旧确认计入营业成本，具体租赁事项详见公司相关公告。公司高度重视投资者回报，实施持续稳定的现金分红，坚持稳健经营，努力争取经营业绩的可持续增长，以长期、稳定、优良的业绩回报投资者。具体分红信息请关注公司发布的公告。感谢您对公司的关注，敬请注意投资风险。</w:t>
            </w:r>
          </w:p>
          <w:p w14:paraId="62CE28CF">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3、</w:t>
            </w:r>
            <w:r>
              <w:rPr>
                <w:rFonts w:hint="eastAsia" w:asciiTheme="minorEastAsia" w:hAnsiTheme="minorEastAsia" w:eastAsiaTheme="minorEastAsia"/>
                <w:b w:val="0"/>
                <w:bCs/>
                <w:sz w:val="24"/>
                <w:szCs w:val="24"/>
              </w:rPr>
              <w:t>宋独董您好！公司上半年归母净利润85.19亿元，其中来自合联营企业（如邮储银行、上海银行等）的投资收益高达42.42亿元，占比近半。在当前航运周期波动及宏观经济承压的背景下，独立董事层面如何评估这种“主业金融投资”双轮驱动模式的抗风险能力？在推动公司绿色甲醇加注、智能重卡等新业务拓展时，如何确保资本开支与现金流相匹配，切实保障中小股东的长期权益？</w:t>
            </w:r>
          </w:p>
          <w:p w14:paraId="3A23E1ED">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尊敬的投资者，您好。公司主业稳健，投资风险整体可控。我们也将充分发挥监督管理职责，切实维护投资者特别是中小投资者的合法权益。感谢您对公司的关注，敬请注意投资风险。</w:t>
            </w:r>
          </w:p>
          <w:p w14:paraId="57929DAB">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4、</w:t>
            </w:r>
            <w:r>
              <w:rPr>
                <w:rFonts w:hint="eastAsia" w:asciiTheme="minorEastAsia" w:hAnsiTheme="minorEastAsia" w:eastAsiaTheme="minorEastAsia"/>
                <w:b w:val="0"/>
                <w:bCs/>
                <w:sz w:val="24"/>
                <w:szCs w:val="24"/>
              </w:rPr>
              <w:t>宋总您好！公司上半年营收和归母净利实现双增，母港集装箱吞吐量同比增长6.2，主业表现强韧。但值得注意的是，8月份母港集装箱吞吐量同比骤降14.7。请问管理层如何看待下半年外贸出口需求的波动？此外，公司正大力推进小洋山北作业区及罗泾二期建设，在主业稳健增长的基础上，新产能的释放将如何转化为公司的长期盈利增量？</w:t>
            </w:r>
          </w:p>
          <w:p w14:paraId="094A5768">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长期来看，受地缘政治冲突常态化、经贸摩擦等因素的影响，全球经济贸易增长存在不确定性风险，中国经济长期向好的基本面不变，“中国制造”完备产业链、持续增长的创新动力以及高水平开放政策，为外贸提供了坚实的支撑。关于小洋山北作业区项目及罗泾港区改造工程，公司正按计划有序推进，项目建成后，将进一步释放产能。感谢您对公司的关注，敬请注意投资风险。</w:t>
            </w:r>
          </w:p>
          <w:p w14:paraId="47A65AB2">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5、</w:t>
            </w:r>
            <w:r>
              <w:rPr>
                <w:rFonts w:hint="eastAsia" w:asciiTheme="minorEastAsia" w:hAnsiTheme="minorEastAsia" w:eastAsiaTheme="minorEastAsia"/>
                <w:b w:val="0"/>
                <w:bCs/>
                <w:sz w:val="24"/>
                <w:szCs w:val="24"/>
              </w:rPr>
              <w:t>管理层好，公司已将长滩商业项目归入港口投资业务范围。请问管理层，长滩海港城在试营业后的培育期内，预计需要多长时间实现经营性现金流盈亏平衡？</w:t>
            </w:r>
          </w:p>
          <w:p w14:paraId="673668EB">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长滩商业项目计划今年年底试营业，相关工作正在积极推进中，公司将做好开业筹备及后续运营管理等各项工作，努力提升项目运营质量与经营效益。感谢您对公司的关注，敬请注意投资风险。</w:t>
            </w:r>
          </w:p>
          <w:p w14:paraId="49C14E1A">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6、</w:t>
            </w:r>
            <w:r>
              <w:rPr>
                <w:rFonts w:hint="eastAsia" w:asciiTheme="minorEastAsia" w:hAnsiTheme="minorEastAsia" w:eastAsiaTheme="minorEastAsia"/>
                <w:b w:val="0"/>
                <w:bCs/>
                <w:sz w:val="24"/>
                <w:szCs w:val="24"/>
              </w:rPr>
              <w:t>管理层好，公司披露长滩海港城已有30余家品牌达成合作意向。请问目前正式签约的品牌占比大约是多少？在免税业态方面，中出服市内免税店的实际筹备进度如何，是否已获得相关经营资质或完成海关监管场所验收？首批签约品牌中，有多少是宝山或北上海区域首店？谢谢。</w:t>
            </w:r>
          </w:p>
          <w:p w14:paraId="3A3B5984">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目前相关工作正在积极推进中，已有合作意向的品牌包括adidas、HAZZYS、GANT、PINKO、Skechers等国内外品牌，后续进展情况请关注上海长滩项目相关官方发布。感谢您对公司的关注，敬请注意投资风险。</w:t>
            </w:r>
          </w:p>
          <w:p w14:paraId="54173D02">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7、</w:t>
            </w:r>
            <w:r>
              <w:rPr>
                <w:rFonts w:hint="eastAsia" w:asciiTheme="minorEastAsia" w:hAnsiTheme="minorEastAsia" w:eastAsiaTheme="minorEastAsia"/>
                <w:b w:val="0"/>
                <w:bCs/>
                <w:sz w:val="24"/>
                <w:szCs w:val="24"/>
              </w:rPr>
              <w:t>建议公司提高分红，哪怕每年每股分红只提高1分钱，也是在提升。公司多年估值不提升的关键，最主要是投资者回报不高。当这方面提升后，公司估值一定会显著提升</w:t>
            </w:r>
          </w:p>
          <w:p w14:paraId="11A76EF6">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尊敬的投资者，感谢您对公司的关注和建议。敬请注意投资风险。</w:t>
            </w:r>
          </w:p>
          <w:p w14:paraId="0D50D336">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8、</w:t>
            </w:r>
            <w:r>
              <w:rPr>
                <w:rFonts w:hint="eastAsia" w:asciiTheme="minorEastAsia" w:hAnsiTheme="minorEastAsia" w:eastAsiaTheme="minorEastAsia"/>
                <w:b w:val="0"/>
                <w:bCs/>
                <w:sz w:val="24"/>
                <w:szCs w:val="24"/>
              </w:rPr>
              <w:t>洋山四期码头目前需要支付租金了。请问这7.8亿的租金每年是在哪个季度支付？是一次性按年支付或是按月支付？今年的租金目前已支付完毕了吗？</w:t>
            </w:r>
          </w:p>
          <w:p w14:paraId="3479A825">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公司及公司下属尚东分公司与同盛集团于2026年8月签署了《洋山四期码头经营性资产租赁合同》，根据租赁合同约定，按季度向同盛集团支付租金，目前已支付了今年一至三季度的租金。感谢您对公司的关注，敬请注意投资风险。</w:t>
            </w:r>
          </w:p>
          <w:p w14:paraId="3C3F867B">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9、</w:t>
            </w:r>
            <w:r>
              <w:rPr>
                <w:rFonts w:hint="eastAsia" w:asciiTheme="minorEastAsia" w:hAnsiTheme="minorEastAsia" w:eastAsiaTheme="minorEastAsia"/>
                <w:b w:val="0"/>
                <w:bCs/>
                <w:sz w:val="24"/>
                <w:szCs w:val="24"/>
              </w:rPr>
              <w:t>面对全球贸易格局变化，公司如何巩固上海港作为国际集装箱枢纽港的领先地位，未来吞吐量和盈利能力有哪些成长空间？</w:t>
            </w:r>
          </w:p>
          <w:p w14:paraId="0834D3AF">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公司致力于成为全球卓越的码头运营商和港口物流服务商，实现在科技、区域、业态三大战略方向上的新突破，稳健发展核心主业，大力培育港航新业态，公司将持续提升航运枢纽功能，不断强化综合物流服务能力，有序推进小洋山北作业区项目及罗泾港区改造工程，加快推进绿色低碳转型等，致力于进一步提高自身核心竞争力，进一步提升盈利能力和盈利水平。感谢您对公司的关注，敬请注意投资风险。</w:t>
            </w:r>
          </w:p>
          <w:p w14:paraId="009CCD2E">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10、</w:t>
            </w:r>
            <w:r>
              <w:rPr>
                <w:rFonts w:hint="eastAsia" w:asciiTheme="minorEastAsia" w:hAnsiTheme="minorEastAsia" w:eastAsiaTheme="minorEastAsia"/>
                <w:b w:val="0"/>
                <w:bCs/>
                <w:sz w:val="24"/>
                <w:szCs w:val="24"/>
              </w:rPr>
              <w:t>管理层好，公司在9月11日答复投资者，最近审议通过的《关于核定上港集团主责主业的议案》，核定公司主业范围主要为港口作业、航运物流服务等。请问：公司的长滩海港城、上海长滩之光这些房地产及商业项目，是否仍在主业范围内？是否属于“盘活运营”或“协同主业”的范围？谢谢。</w:t>
            </w:r>
          </w:p>
          <w:p w14:paraId="514BE6B5">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尊敬的投资者，您好。房地产及商业项目归入港口投资业务范围。感谢您对公司的关注，敬请注意投资风险。</w:t>
            </w:r>
          </w:p>
          <w:p w14:paraId="14DBD84F">
            <w:pPr>
              <w:pStyle w:val="8"/>
              <w:spacing w:line="460" w:lineRule="exact"/>
              <w:ind w:left="-2" w:leftChars="-1" w:firstLine="480"/>
              <w:rPr>
                <w:rFonts w:hint="eastAsia" w:asciiTheme="minorEastAsia" w:hAnsiTheme="minorEastAsia" w:eastAsiaTheme="minorEastAsia"/>
                <w:b w:val="0"/>
                <w:bCs/>
                <w:sz w:val="24"/>
                <w:szCs w:val="24"/>
              </w:rPr>
            </w:pPr>
            <w:r>
              <w:rPr>
                <w:rFonts w:asciiTheme="minorEastAsia" w:hAnsiTheme="minorEastAsia" w:eastAsiaTheme="minorEastAsia"/>
                <w:b w:val="0"/>
                <w:bCs/>
                <w:sz w:val="24"/>
                <w:szCs w:val="24"/>
              </w:rPr>
              <w:t>11、</w:t>
            </w:r>
            <w:r>
              <w:rPr>
                <w:rFonts w:hint="eastAsia" w:asciiTheme="minorEastAsia" w:hAnsiTheme="minorEastAsia" w:eastAsiaTheme="minorEastAsia"/>
                <w:b w:val="0"/>
                <w:bCs/>
                <w:sz w:val="24"/>
                <w:szCs w:val="24"/>
              </w:rPr>
              <w:t>公司在智慧港口建设与绿色低碳转型（如岸电、清洁能源等）方面有哪些进展和投资规划？</w:t>
            </w:r>
          </w:p>
          <w:p w14:paraId="437186B8">
            <w:pPr>
              <w:pStyle w:val="8"/>
              <w:spacing w:line="460" w:lineRule="exact"/>
              <w:ind w:left="-2" w:leftChars="-1" w:firstLine="480"/>
              <w:rPr>
                <w:rFonts w:asciiTheme="minorEastAsia" w:hAnsiTheme="minorEastAsia" w:eastAsiaTheme="minorEastAsia"/>
                <w:b w:val="0"/>
                <w:bCs/>
                <w:sz w:val="24"/>
                <w:szCs w:val="24"/>
              </w:rPr>
            </w:pPr>
            <w:r>
              <w:rPr>
                <w:rFonts w:hint="eastAsia" w:asciiTheme="minorEastAsia" w:hAnsiTheme="minorEastAsia" w:eastAsiaTheme="minorEastAsia"/>
                <w:b w:val="0"/>
                <w:bCs/>
                <w:sz w:val="24"/>
                <w:szCs w:val="24"/>
              </w:rPr>
              <w:t>尊敬的投资者，您好。公司加速绿色低碳转型，积极构建更完善的清洁能源供应体系。上海港所有集装箱码头已配备岸电设施，绿色设施覆盖持续扩大，岸电系统常态化使用；分布式光伏发电项目建设在外高桥、洋山和罗泾三大港区实现覆盖；积极推进全产业链减碳，持续降低单位吞吐量能耗与碳排放强度等。公司围绕港口数字化转型和科技创新突破，持续将智慧港口建设向纵深推进，港口智慧系统不断迭代升级；创新应用突破传统码头改造技术瓶颈；积极打造枢纽港智能集疏运体系；数据赋能多式联运场景创新。面对未来挑战，公司将聚焦智慧港口关键核心技术，持续强化前沿技术在港口场景中的融合应用，重点从推进AI技术深度赋能、深化智能航运建设、加快新型基础设施研究应用、稳步提升数字化服务能力等方面加快突破。感谢您对公司的关注，敬请注意投资风险。</w:t>
            </w:r>
            <w:bookmarkStart w:id="0" w:name="_GoBack"/>
            <w:bookmarkEnd w:id="0"/>
          </w:p>
          <w:p w14:paraId="5D143A2A">
            <w:pPr>
              <w:pStyle w:val="8"/>
              <w:snapToGrid w:val="0"/>
              <w:spacing w:line="300" w:lineRule="auto"/>
              <w:ind w:firstLine="480"/>
              <w:rPr>
                <w:rFonts w:asciiTheme="minorEastAsia" w:hAnsiTheme="minorEastAsia" w:eastAsiaTheme="minorEastAsia"/>
                <w:sz w:val="24"/>
                <w:szCs w:val="24"/>
              </w:rPr>
            </w:pPr>
          </w:p>
          <w:p w14:paraId="35AFFB8D">
            <w:pPr>
              <w:pStyle w:val="8"/>
              <w:snapToGrid w:val="0"/>
              <w:spacing w:line="300" w:lineRule="auto"/>
              <w:ind w:left="-2" w:leftChars="-1" w:firstLine="480"/>
              <w:rPr>
                <w:rFonts w:asciiTheme="minorEastAsia" w:hAnsiTheme="minorEastAsia" w:eastAsiaTheme="minorEastAsia"/>
                <w:bCs/>
                <w:iCs/>
                <w:color w:val="000000"/>
                <w:sz w:val="24"/>
                <w:szCs w:val="24"/>
              </w:rPr>
            </w:pPr>
            <w:r>
              <w:rPr>
                <w:rFonts w:hint="eastAsia" w:ascii="宋体" w:hAnsi="宋体" w:cs="仿宋_GB2312"/>
                <w:color w:val="000000"/>
                <w:kern w:val="0"/>
                <w:sz w:val="24"/>
              </w:rPr>
              <w:t>注：</w:t>
            </w:r>
            <w:r>
              <w:rPr>
                <w:rFonts w:ascii="宋体" w:hAnsi="宋体" w:cs="仿宋_GB2312"/>
                <w:color w:val="000000"/>
                <w:kern w:val="0"/>
                <w:sz w:val="24"/>
              </w:rPr>
              <w:t>投资者可以通过“全景路演”网站</w:t>
            </w:r>
            <w:r>
              <w:rPr>
                <w:rFonts w:hint="eastAsia" w:ascii="宋体" w:hAnsi="宋体" w:cs="仿宋_GB2312"/>
                <w:color w:val="000000"/>
                <w:kern w:val="0"/>
                <w:sz w:val="24"/>
              </w:rPr>
              <w:t>或关注微信公众号全景财经或下载全景路演APP，</w:t>
            </w:r>
            <w:r>
              <w:rPr>
                <w:rFonts w:ascii="宋体" w:hAnsi="宋体" w:cs="仿宋_GB2312"/>
                <w:color w:val="000000"/>
                <w:kern w:val="0"/>
                <w:sz w:val="24"/>
              </w:rPr>
              <w:t>查看本次业绩说明会的召开情况及主要内容。</w:t>
            </w:r>
          </w:p>
        </w:tc>
      </w:tr>
      <w:tr w14:paraId="721F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17F14864">
            <w:pPr>
              <w:snapToGrid w:val="0"/>
              <w:rPr>
                <w:rFonts w:asciiTheme="minorEastAsia" w:hAnsiTheme="minorEastAsia" w:eastAsiaTheme="minorEastAsia"/>
                <w:bCs/>
                <w:iCs/>
                <w:color w:val="000000"/>
                <w:kern w:val="0"/>
                <w:sz w:val="24"/>
              </w:rPr>
            </w:pPr>
            <w:r>
              <w:rPr>
                <w:rFonts w:asciiTheme="minorEastAsia" w:hAnsiTheme="minorEastAsia" w:eastAsiaTheme="minorEastAsia"/>
                <w:bCs/>
                <w:iCs/>
                <w:color w:val="000000"/>
                <w:kern w:val="0"/>
                <w:sz w:val="24"/>
              </w:rPr>
              <w:t>关于本次活动是否涉及应披露重大信息的说明</w:t>
            </w:r>
          </w:p>
        </w:tc>
        <w:tc>
          <w:tcPr>
            <w:tcW w:w="7229" w:type="dxa"/>
            <w:tcBorders>
              <w:top w:val="single" w:color="auto" w:sz="4" w:space="0"/>
              <w:left w:val="single" w:color="auto" w:sz="4" w:space="0"/>
              <w:bottom w:val="single" w:color="auto" w:sz="4" w:space="0"/>
              <w:right w:val="single" w:color="auto" w:sz="4" w:space="0"/>
            </w:tcBorders>
            <w:vAlign w:val="center"/>
          </w:tcPr>
          <w:p w14:paraId="4D8F3212">
            <w:pPr>
              <w:pStyle w:val="8"/>
              <w:snapToGrid w:val="0"/>
              <w:spacing w:line="300" w:lineRule="auto"/>
              <w:ind w:left="-2" w:leftChars="-1" w:firstLine="480"/>
              <w:rPr>
                <w:rFonts w:asciiTheme="minorEastAsia" w:hAnsiTheme="minorEastAsia" w:eastAsiaTheme="minorEastAsia"/>
                <w:bCs/>
                <w:iCs/>
                <w:color w:val="000000"/>
                <w:sz w:val="24"/>
                <w:szCs w:val="24"/>
              </w:rPr>
            </w:pPr>
            <w:r>
              <w:rPr>
                <w:rFonts w:asciiTheme="minorEastAsia" w:hAnsiTheme="minorEastAsia" w:eastAsiaTheme="minorEastAsia"/>
                <w:sz w:val="24"/>
                <w:szCs w:val="24"/>
              </w:rPr>
              <w:t>业绩说明会召开过程中，公司严格按照有关制度要求，没有出现未公开重大信息泄露等情况。</w:t>
            </w:r>
          </w:p>
        </w:tc>
      </w:tr>
    </w:tbl>
    <w:p w14:paraId="74722F53"/>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2FFCF">
    <w:pPr>
      <w:pStyle w:val="4"/>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B52ED"/>
    <w:rsid w:val="001C50AD"/>
    <w:rsid w:val="001D22EE"/>
    <w:rsid w:val="001D4C89"/>
    <w:rsid w:val="001E1838"/>
    <w:rsid w:val="001E3145"/>
    <w:rsid w:val="001E6509"/>
    <w:rsid w:val="001E7968"/>
    <w:rsid w:val="0022180A"/>
    <w:rsid w:val="00223ABC"/>
    <w:rsid w:val="002241B9"/>
    <w:rsid w:val="002274D9"/>
    <w:rsid w:val="0023455A"/>
    <w:rsid w:val="00237994"/>
    <w:rsid w:val="002402DE"/>
    <w:rsid w:val="00251D58"/>
    <w:rsid w:val="002530EE"/>
    <w:rsid w:val="002549E6"/>
    <w:rsid w:val="00256602"/>
    <w:rsid w:val="00271C8D"/>
    <w:rsid w:val="00273B53"/>
    <w:rsid w:val="0028080C"/>
    <w:rsid w:val="00286458"/>
    <w:rsid w:val="00295257"/>
    <w:rsid w:val="00297703"/>
    <w:rsid w:val="002A0826"/>
    <w:rsid w:val="002A0984"/>
    <w:rsid w:val="002A589B"/>
    <w:rsid w:val="002B1184"/>
    <w:rsid w:val="002B556B"/>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22329"/>
    <w:rsid w:val="00433384"/>
    <w:rsid w:val="0043777D"/>
    <w:rsid w:val="0045767F"/>
    <w:rsid w:val="00463E9B"/>
    <w:rsid w:val="00467414"/>
    <w:rsid w:val="00473F30"/>
    <w:rsid w:val="0048591A"/>
    <w:rsid w:val="00486D86"/>
    <w:rsid w:val="0048721A"/>
    <w:rsid w:val="004A0BD5"/>
    <w:rsid w:val="004A1BBF"/>
    <w:rsid w:val="004A6FD2"/>
    <w:rsid w:val="004A73E5"/>
    <w:rsid w:val="004C19BF"/>
    <w:rsid w:val="004D105E"/>
    <w:rsid w:val="004D7640"/>
    <w:rsid w:val="004E1A9B"/>
    <w:rsid w:val="00500AB6"/>
    <w:rsid w:val="0051234C"/>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0095"/>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051909BA"/>
    <w:rsid w:val="097C456E"/>
    <w:rsid w:val="0E1F0038"/>
    <w:rsid w:val="1B2418A5"/>
    <w:rsid w:val="1FBFC074"/>
    <w:rsid w:val="36FB9E1F"/>
    <w:rsid w:val="3BFA3B96"/>
    <w:rsid w:val="3CEF3472"/>
    <w:rsid w:val="3EFF16E9"/>
    <w:rsid w:val="4551056D"/>
    <w:rsid w:val="60B879C7"/>
    <w:rsid w:val="6A260B2B"/>
    <w:rsid w:val="708F2BC6"/>
    <w:rsid w:val="77CF73AC"/>
    <w:rsid w:val="78FF0116"/>
    <w:rsid w:val="7D9A0B9D"/>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4"/>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customStyle="1" w:styleId="8">
    <w:name w:val="_Style 6"/>
    <w:basedOn w:val="1"/>
    <w:qFormat/>
    <w:uiPriority w:val="34"/>
    <w:pPr>
      <w:ind w:firstLine="420" w:firstLineChars="200"/>
    </w:pPr>
    <w:rPr>
      <w:rFonts w:ascii="Calibri" w:hAnsi="Calibri"/>
      <w:szCs w:val="22"/>
    </w:rPr>
  </w:style>
  <w:style w:type="paragraph" w:customStyle="1" w:styleId="9">
    <w:name w:val="Char Char Char"/>
    <w:basedOn w:val="1"/>
    <w:qFormat/>
    <w:uiPriority w:val="0"/>
    <w:rPr>
      <w:szCs w:val="21"/>
    </w:rPr>
  </w:style>
  <w:style w:type="paragraph" w:customStyle="1" w:styleId="10">
    <w:name w:val="Char Char Char Char Char Char Char Char Char Char Char Char Char Char Char Char"/>
    <w:basedOn w:val="1"/>
    <w:qFormat/>
    <w:uiPriority w:val="0"/>
  </w:style>
  <w:style w:type="paragraph" w:customStyle="1" w:styleId="11">
    <w:name w:val="Char Char Char1"/>
    <w:basedOn w:val="1"/>
    <w:qFormat/>
    <w:uiPriority w:val="0"/>
  </w:style>
  <w:style w:type="character" w:customStyle="1" w:styleId="12">
    <w:name w:val="页脚 Char"/>
    <w:basedOn w:val="7"/>
    <w:link w:val="3"/>
    <w:qFormat/>
    <w:uiPriority w:val="0"/>
    <w:rPr>
      <w:kern w:val="2"/>
      <w:sz w:val="18"/>
      <w:szCs w:val="18"/>
    </w:rPr>
  </w:style>
  <w:style w:type="character" w:customStyle="1" w:styleId="13">
    <w:name w:val="页眉 Char"/>
    <w:basedOn w:val="7"/>
    <w:link w:val="4"/>
    <w:qFormat/>
    <w:uiPriority w:val="0"/>
    <w:rPr>
      <w:kern w:val="2"/>
      <w:sz w:val="18"/>
      <w:szCs w:val="18"/>
    </w:rPr>
  </w:style>
  <w:style w:type="character" w:customStyle="1" w:styleId="14">
    <w:name w:val="批注框文本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5</Pages>
  <Words>4429</Words>
  <Characters>4579</Characters>
  <Lines>26</Lines>
  <Paragraphs>7</Paragraphs>
  <TotalTime>6</TotalTime>
  <ScaleCrop>false</ScaleCrop>
  <LinksUpToDate>false</LinksUpToDate>
  <CharactersWithSpaces>4712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QXY</cp:lastModifiedBy>
  <cp:lastPrinted>2014-02-21T05:34:00Z</cp:lastPrinted>
  <dcterms:modified xsi:type="dcterms:W3CDTF">2026-09-17T01:24:10Z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FD74D6182A484F97BE616DBEA507FD77_13</vt:lpwstr>
  </property>
  <property fmtid="{D5CDD505-2E9C-101B-9397-08002B2CF9AE}" pid="4" name="KSOTemplateDocerSaveRecord">
    <vt:lpwstr>eyJoZGlkIjoiMjM2MzVjZTc3Y2E3NDA2ODM5M2IxZDI3NjE5ZmMxZjQiLCJ1c2VySWQiOiIxMjM4ODMxMDk0In0=</vt:lpwstr>
  </property>
</Properties>
</file>