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E89E6">
      <w:pPr>
        <w:spacing w:before="156" w:beforeLines="50" w:after="156" w:afterLines="50" w:line="400" w:lineRule="exact"/>
        <w:rPr>
          <w:rFonts w:hint="eastAsia" w:asciiTheme="minorEastAsia" w:hAnsiTheme="minorEastAsia" w:eastAsiaTheme="minorEastAsia" w:cstheme="minorEastAsia"/>
          <w:bCs/>
          <w:iCs/>
          <w:color w:val="000000"/>
          <w:sz w:val="24"/>
          <w:lang w:val="en-US" w:eastAsia="zh-CN"/>
        </w:rPr>
      </w:pPr>
      <w:r>
        <w:rPr>
          <w:rFonts w:hAnsi="宋体"/>
          <w:bCs/>
          <w:iCs/>
          <w:color w:val="000000"/>
          <w:sz w:val="24"/>
        </w:rPr>
        <w:t>证券代码：</w:t>
      </w:r>
      <w:r>
        <w:rPr>
          <w:rFonts w:hint="eastAsia" w:asciiTheme="minorEastAsia" w:hAnsiTheme="minorEastAsia" w:eastAsiaTheme="minorEastAsia" w:cstheme="minorEastAsia"/>
          <w:color w:val="000000"/>
          <w:sz w:val="24"/>
        </w:rPr>
        <w:t xml:space="preserve">600141                             </w:t>
      </w:r>
      <w:r>
        <w:rPr>
          <w:rFonts w:hint="eastAsia" w:asciiTheme="minorEastAsia" w:hAnsiTheme="minorEastAsia" w:eastAsiaTheme="minorEastAsia" w:cstheme="minorEastAsia"/>
          <w:color w:val="000000"/>
          <w:sz w:val="24"/>
          <w:lang w:val="en-US" w:eastAsia="zh-CN"/>
        </w:rPr>
        <w:t xml:space="preserve">               </w:t>
      </w:r>
      <w:r>
        <w:rPr>
          <w:rFonts w:hint="eastAsia" w:asciiTheme="minorEastAsia" w:hAnsiTheme="minorEastAsia" w:eastAsiaTheme="minorEastAsia" w:cstheme="minorEastAsia"/>
          <w:bCs/>
          <w:iCs/>
          <w:color w:val="000000"/>
          <w:sz w:val="24"/>
        </w:rPr>
        <w:t>证券简称：</w:t>
      </w:r>
      <w:r>
        <w:rPr>
          <w:rFonts w:hint="eastAsia" w:asciiTheme="minorEastAsia" w:hAnsiTheme="minorEastAsia" w:eastAsiaTheme="minorEastAsia" w:cstheme="minorEastAsia"/>
          <w:color w:val="000000"/>
          <w:sz w:val="24"/>
        </w:rPr>
        <w:t>兴发集团</w:t>
      </w:r>
      <w:r>
        <w:rPr>
          <w:rFonts w:hint="eastAsia" w:asciiTheme="minorEastAsia" w:hAnsiTheme="minorEastAsia" w:eastAsiaTheme="minorEastAsia" w:cstheme="minorEastAsia"/>
          <w:color w:val="000000"/>
          <w:sz w:val="24"/>
          <w:lang w:val="en-US" w:eastAsia="zh-CN"/>
        </w:rPr>
        <w:t xml:space="preserve"> </w:t>
      </w:r>
    </w:p>
    <w:p w14:paraId="68019A1A">
      <w:pPr>
        <w:spacing w:before="156" w:beforeLines="50" w:after="156" w:afterLines="50" w:line="400" w:lineRule="exact"/>
        <w:jc w:val="center"/>
        <w:rPr>
          <w:rFonts w:hint="default" w:ascii="宋体" w:hAnsi="宋体"/>
          <w:b/>
          <w:bCs/>
          <w:iCs/>
          <w:color w:val="000000"/>
          <w:sz w:val="32"/>
          <w:szCs w:val="32"/>
        </w:rPr>
      </w:pPr>
    </w:p>
    <w:p w14:paraId="78E0B449">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湖北兴发化工集团股份有限公司</w:t>
      </w:r>
      <w:r>
        <w:rPr>
          <w:rFonts w:hint="eastAsia" w:ascii="宋体" w:hAnsi="宋体"/>
          <w:b/>
          <w:bCs/>
          <w:iCs/>
          <w:color w:val="000000"/>
          <w:sz w:val="32"/>
          <w:szCs w:val="32"/>
        </w:rPr>
        <w:t>投资者关系活动记录表</w:t>
      </w:r>
    </w:p>
    <w:p w14:paraId="331A7E3B">
      <w:pPr>
        <w:spacing w:line="400" w:lineRule="exact"/>
        <w:jc w:val="both"/>
        <w:rPr>
          <w:rFonts w:hint="default" w:eastAsia="宋体"/>
          <w:bCs/>
          <w:iCs/>
          <w:color w:val="000000"/>
          <w:sz w:val="24"/>
          <w:lang w:val="en-US" w:eastAsia="zh-CN"/>
        </w:rPr>
      </w:pPr>
      <w:r>
        <w:rPr>
          <w:rFonts w:hint="eastAsia" w:ascii="宋体" w:hAnsi="宋体"/>
          <w:bCs/>
          <w:iCs/>
          <w:color w:val="000000"/>
          <w:sz w:val="24"/>
          <w:lang w:val="en-US" w:eastAsia="zh-CN"/>
        </w:rPr>
        <w:t>编号：</w:t>
      </w:r>
      <w:r>
        <w:rPr>
          <w:rFonts w:hint="eastAsia" w:ascii="宋体" w:hAnsi="宋体"/>
          <w:bCs/>
          <w:iCs/>
          <w:color w:val="auto"/>
          <w:sz w:val="24"/>
          <w:lang w:val="en-US" w:eastAsia="zh-CN"/>
        </w:rPr>
        <w:t>2026-008</w:t>
      </w:r>
    </w:p>
    <w:tbl>
      <w:tblPr>
        <w:tblStyle w:val="7"/>
        <w:tblW w:w="9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7723"/>
      </w:tblGrid>
      <w:tr w14:paraId="7277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noWrap w:val="0"/>
            <w:vAlign w:val="center"/>
          </w:tcPr>
          <w:p w14:paraId="206D3F46">
            <w:pPr>
              <w:spacing w:line="420" w:lineRule="exact"/>
              <w:jc w:val="both"/>
              <w:rPr>
                <w:rFonts w:hint="eastAsia" w:ascii="宋体" w:hAnsi="宋体" w:cs="宋体"/>
                <w:bCs/>
                <w:iCs/>
                <w:color w:val="auto"/>
                <w:sz w:val="24"/>
              </w:rPr>
            </w:pPr>
            <w:r>
              <w:rPr>
                <w:rFonts w:hint="eastAsia" w:ascii="宋体" w:hAnsi="宋体" w:cs="宋体"/>
                <w:bCs/>
                <w:iCs/>
                <w:color w:val="auto"/>
                <w:kern w:val="0"/>
                <w:sz w:val="24"/>
              </w:rPr>
              <w:t>投资者关系活动类别</w:t>
            </w:r>
          </w:p>
        </w:tc>
        <w:tc>
          <w:tcPr>
            <w:tcW w:w="7723" w:type="dxa"/>
            <w:tcBorders>
              <w:top w:val="single" w:color="auto" w:sz="4" w:space="0"/>
              <w:left w:val="single" w:color="auto" w:sz="4" w:space="0"/>
              <w:bottom w:val="single" w:color="auto" w:sz="4" w:space="0"/>
              <w:right w:val="single" w:color="auto" w:sz="4" w:space="0"/>
            </w:tcBorders>
            <w:noWrap w:val="0"/>
            <w:vAlign w:val="top"/>
          </w:tcPr>
          <w:p w14:paraId="0D4E17E1">
            <w:pPr>
              <w:spacing w:line="420" w:lineRule="exact"/>
              <w:rPr>
                <w:rFonts w:hint="eastAsia" w:ascii="宋体" w:hAnsi="宋体" w:cs="宋体"/>
                <w:bCs/>
                <w:iCs/>
                <w:color w:val="auto"/>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 xml:space="preserve">特定对象调研         </w:t>
            </w: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分析师会议</w:t>
            </w:r>
          </w:p>
          <w:p w14:paraId="409F943A">
            <w:pPr>
              <w:spacing w:line="420" w:lineRule="exact"/>
              <w:rPr>
                <w:rFonts w:hint="eastAsia" w:ascii="宋体" w:hAnsi="宋体" w:cs="宋体"/>
                <w:bCs/>
                <w:iCs/>
                <w:color w:val="auto"/>
                <w:kern w:val="0"/>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 xml:space="preserve">媒体采访            </w:t>
            </w:r>
            <w:r>
              <w:rPr>
                <w:rFonts w:hint="eastAsia" w:ascii="宋体" w:hAnsi="宋体" w:cs="宋体"/>
                <w:bCs/>
                <w:iCs/>
                <w:color w:val="auto"/>
                <w:kern w:val="0"/>
                <w:sz w:val="24"/>
              </w:rPr>
              <w:t xml:space="preserve"> </w:t>
            </w:r>
            <w:r>
              <w:rPr>
                <w:rFonts w:hint="eastAsia" w:ascii="宋体" w:hAnsi="宋体" w:cs="宋体"/>
                <w:bCs/>
                <w:iCs/>
                <w:color w:val="auto"/>
                <w:kern w:val="0"/>
                <w:sz w:val="24"/>
                <w:lang w:eastAsia="zh"/>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业绩说明会</w:t>
            </w:r>
          </w:p>
          <w:p w14:paraId="314A6BB2">
            <w:pPr>
              <w:spacing w:line="420" w:lineRule="exact"/>
              <w:rPr>
                <w:rFonts w:hint="eastAsia" w:ascii="宋体" w:hAnsi="宋体" w:cs="宋体"/>
                <w:bCs/>
                <w:iCs/>
                <w:color w:val="auto"/>
                <w:kern w:val="0"/>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lang w:val="en-US" w:eastAsia="zh-CN"/>
              </w:rPr>
              <w:t xml:space="preserve"> </w:t>
            </w:r>
            <w:r>
              <w:rPr>
                <w:rFonts w:hint="eastAsia" w:ascii="宋体" w:hAnsi="宋体" w:cs="宋体"/>
                <w:color w:val="auto"/>
                <w:kern w:val="0"/>
                <w:sz w:val="24"/>
              </w:rPr>
              <w:t xml:space="preserve">新闻发布会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 xml:space="preserve"> </w:t>
            </w: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路演活动</w:t>
            </w:r>
          </w:p>
          <w:p w14:paraId="24F6DB7E">
            <w:pPr>
              <w:tabs>
                <w:tab w:val="left" w:pos="3045"/>
                <w:tab w:val="center" w:pos="3199"/>
              </w:tabs>
              <w:spacing w:line="420" w:lineRule="exact"/>
              <w:rPr>
                <w:rFonts w:hint="eastAsia" w:ascii="宋体" w:hAnsi="宋体" w:cs="宋体"/>
                <w:bCs/>
                <w:iCs/>
                <w:color w:val="auto"/>
                <w:kern w:val="0"/>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现场参观</w:t>
            </w:r>
            <w:r>
              <w:rPr>
                <w:rFonts w:hint="eastAsia" w:ascii="宋体" w:hAnsi="宋体" w:cs="宋体"/>
                <w:bCs/>
                <w:iCs/>
                <w:color w:val="auto"/>
                <w:kern w:val="0"/>
                <w:sz w:val="24"/>
              </w:rPr>
              <w:tab/>
            </w:r>
          </w:p>
          <w:p w14:paraId="39D529BD">
            <w:pPr>
              <w:tabs>
                <w:tab w:val="center" w:pos="3199"/>
              </w:tabs>
              <w:spacing w:line="420" w:lineRule="exact"/>
              <w:rPr>
                <w:rFonts w:hint="eastAsia" w:ascii="宋体" w:hAnsi="宋体" w:cs="宋体"/>
                <w:bCs/>
                <w:iCs/>
                <w:color w:val="auto"/>
                <w:sz w:val="24"/>
              </w:rPr>
            </w:pPr>
            <w:r>
              <w:rPr>
                <w:rFonts w:hint="eastAsia" w:ascii="宋体" w:hAnsi="宋体" w:cs="宋体"/>
                <w:bCs/>
                <w:iCs/>
                <w:color w:val="auto"/>
                <w:kern w:val="0"/>
                <w:sz w:val="24"/>
                <w:lang w:eastAsia="zh-CN"/>
              </w:rPr>
              <w:t>□</w:t>
            </w:r>
            <w:r>
              <w:rPr>
                <w:rFonts w:hint="eastAsia" w:ascii="宋体" w:hAnsi="宋体" w:cs="宋体"/>
                <w:bCs/>
                <w:iCs/>
                <w:color w:val="auto"/>
                <w:kern w:val="0"/>
                <w:sz w:val="24"/>
              </w:rPr>
              <w:t xml:space="preserve"> </w:t>
            </w:r>
            <w:r>
              <w:rPr>
                <w:rFonts w:hint="eastAsia" w:ascii="宋体" w:hAnsi="宋体" w:cs="宋体"/>
                <w:color w:val="auto"/>
                <w:kern w:val="0"/>
                <w:sz w:val="24"/>
              </w:rPr>
              <w:t>其他 （</w:t>
            </w:r>
            <w:r>
              <w:rPr>
                <w:rFonts w:hint="eastAsia" w:ascii="宋体" w:hAnsi="宋体" w:cs="宋体"/>
                <w:color w:val="auto"/>
                <w:kern w:val="0"/>
                <w:sz w:val="24"/>
                <w:u w:val="single"/>
              </w:rPr>
              <w:t>请文字说明其他活动内容）</w:t>
            </w:r>
          </w:p>
        </w:tc>
      </w:tr>
      <w:tr w14:paraId="35B5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noWrap w:val="0"/>
            <w:vAlign w:val="center"/>
          </w:tcPr>
          <w:p w14:paraId="2CB4EE71">
            <w:pPr>
              <w:jc w:val="center"/>
              <w:rPr>
                <w:rFonts w:hint="eastAsia" w:ascii="宋体" w:hAnsi="宋体" w:cs="宋体"/>
                <w:bCs/>
                <w:iCs/>
                <w:color w:val="auto"/>
                <w:kern w:val="0"/>
                <w:sz w:val="24"/>
              </w:rPr>
            </w:pPr>
            <w:r>
              <w:rPr>
                <w:rFonts w:hint="eastAsia"/>
                <w:sz w:val="24"/>
                <w:szCs w:val="24"/>
              </w:rPr>
              <w:t>活动主题</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1EAD2027">
            <w:pPr>
              <w:rPr>
                <w:rFonts w:hint="eastAsia" w:ascii="宋体" w:hAnsi="宋体" w:cs="宋体"/>
                <w:bCs/>
                <w:iCs/>
                <w:color w:val="auto"/>
                <w:kern w:val="0"/>
                <w:sz w:val="24"/>
                <w:lang w:eastAsia="zh-CN"/>
              </w:rPr>
            </w:pPr>
            <w:r>
              <w:rPr>
                <w:rFonts w:hint="eastAsia" w:ascii="宋体" w:hAnsi="宋体" w:eastAsia="宋体" w:cs="宋体"/>
                <w:bCs/>
                <w:iCs/>
                <w:color w:val="000000"/>
                <w:sz w:val="24"/>
                <w:highlight w:val="none"/>
                <w:lang w:val="en-GB"/>
              </w:rPr>
              <w:t>兴发集团2026年半年度业绩说明会</w:t>
            </w:r>
          </w:p>
        </w:tc>
      </w:tr>
      <w:tr w14:paraId="07C7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D0FBE">
            <w:pPr>
              <w:jc w:val="center"/>
              <w:rPr>
                <w:rFonts w:hint="eastAsia" w:ascii="Times New Roman" w:hAnsi="Times New Roman" w:eastAsia="宋体" w:cs="Times New Roman"/>
                <w:kern w:val="2"/>
                <w:sz w:val="24"/>
                <w:szCs w:val="24"/>
                <w:lang w:val="en-US" w:eastAsia="zh-CN" w:bidi="ar-SA"/>
              </w:rPr>
            </w:pPr>
            <w:r>
              <w:rPr>
                <w:rFonts w:hint="eastAsia"/>
                <w:sz w:val="24"/>
                <w:szCs w:val="24"/>
              </w:rPr>
              <w:t>时间</w:t>
            </w:r>
          </w:p>
        </w:tc>
        <w:tc>
          <w:tcPr>
            <w:tcW w:w="77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B02F49">
            <w:pPr>
              <w:rPr>
                <w:rFonts w:hint="eastAsia" w:ascii="Times New Roman" w:hAnsi="Times New Roman" w:eastAsia="宋体" w:cs="Times New Roman"/>
                <w:kern w:val="2"/>
                <w:sz w:val="24"/>
                <w:szCs w:val="24"/>
                <w:lang w:val="en-GB" w:eastAsia="zh-CN" w:bidi="ar-SA"/>
              </w:rPr>
            </w:pPr>
            <w:r>
              <w:rPr>
                <w:rFonts w:hint="eastAsia" w:ascii="宋体" w:hAnsi="宋体" w:eastAsia="宋体" w:cs="宋体"/>
                <w:bCs/>
                <w:iCs/>
                <w:color w:val="000000"/>
                <w:sz w:val="24"/>
                <w:highlight w:val="none"/>
              </w:rPr>
              <w:t>2026</w:t>
            </w:r>
            <w:r>
              <w:rPr>
                <w:rFonts w:hint="eastAsia" w:ascii="宋体" w:hAnsi="宋体" w:cs="宋体"/>
                <w:bCs/>
                <w:iCs/>
                <w:color w:val="000000"/>
                <w:sz w:val="24"/>
                <w:highlight w:val="none"/>
                <w:lang w:val="en-US" w:eastAsia="zh-CN"/>
              </w:rPr>
              <w:t>年</w:t>
            </w:r>
            <w:r>
              <w:rPr>
                <w:rFonts w:hint="eastAsia" w:ascii="宋体" w:hAnsi="宋体" w:eastAsia="宋体" w:cs="宋体"/>
                <w:bCs/>
                <w:iCs/>
                <w:color w:val="000000"/>
                <w:sz w:val="24"/>
                <w:highlight w:val="none"/>
              </w:rPr>
              <w:t>9</w:t>
            </w:r>
            <w:r>
              <w:rPr>
                <w:rFonts w:hint="eastAsia" w:ascii="宋体" w:hAnsi="宋体" w:cs="宋体"/>
                <w:bCs/>
                <w:iCs/>
                <w:color w:val="000000"/>
                <w:sz w:val="24"/>
                <w:highlight w:val="none"/>
                <w:lang w:val="en-US" w:eastAsia="zh-CN"/>
              </w:rPr>
              <w:t>月</w:t>
            </w:r>
            <w:r>
              <w:rPr>
                <w:rFonts w:hint="eastAsia" w:ascii="宋体" w:hAnsi="宋体" w:eastAsia="宋体" w:cs="宋体"/>
                <w:bCs/>
                <w:iCs/>
                <w:color w:val="000000"/>
                <w:sz w:val="24"/>
                <w:highlight w:val="none"/>
              </w:rPr>
              <w:t>15</w:t>
            </w:r>
            <w:r>
              <w:rPr>
                <w:rFonts w:hint="eastAsia" w:ascii="宋体" w:hAnsi="宋体" w:cs="宋体"/>
                <w:bCs/>
                <w:iCs/>
                <w:color w:val="000000"/>
                <w:sz w:val="24"/>
                <w:highlight w:val="none"/>
                <w:lang w:val="en-US" w:eastAsia="zh-CN"/>
              </w:rPr>
              <w:t>日</w:t>
            </w:r>
            <w:r>
              <w:rPr>
                <w:rFonts w:hint="eastAsia" w:ascii="宋体" w:hAnsi="宋体" w:eastAsia="宋体" w:cs="宋体"/>
                <w:bCs/>
                <w:iCs/>
                <w:color w:val="000000"/>
                <w:sz w:val="24"/>
                <w:highlight w:val="none"/>
              </w:rPr>
              <w:t>15</w:t>
            </w:r>
            <w:r>
              <w:rPr>
                <w:rFonts w:hint="eastAsia" w:ascii="宋体" w:hAnsi="宋体" w:cs="宋体"/>
                <w:bCs/>
                <w:iCs/>
                <w:color w:val="000000"/>
                <w:sz w:val="24"/>
                <w:highlight w:val="none"/>
                <w:lang w:eastAsia="zh-CN"/>
              </w:rPr>
              <w:t>:</w:t>
            </w:r>
            <w:r>
              <w:rPr>
                <w:rFonts w:hint="eastAsia" w:ascii="宋体" w:hAnsi="宋体" w:eastAsia="宋体" w:cs="宋体"/>
                <w:bCs/>
                <w:iCs/>
                <w:color w:val="000000"/>
                <w:sz w:val="24"/>
                <w:highlight w:val="none"/>
              </w:rPr>
              <w:t>00-16</w:t>
            </w:r>
            <w:r>
              <w:rPr>
                <w:rFonts w:hint="eastAsia" w:ascii="宋体" w:hAnsi="宋体" w:cs="宋体"/>
                <w:bCs/>
                <w:iCs/>
                <w:color w:val="000000"/>
                <w:sz w:val="24"/>
                <w:highlight w:val="none"/>
                <w:lang w:eastAsia="zh-CN"/>
              </w:rPr>
              <w:t>:</w:t>
            </w:r>
            <w:r>
              <w:rPr>
                <w:rFonts w:hint="eastAsia" w:ascii="宋体" w:hAnsi="宋体" w:eastAsia="宋体" w:cs="宋体"/>
                <w:bCs/>
                <w:iCs/>
                <w:color w:val="000000"/>
                <w:sz w:val="24"/>
                <w:highlight w:val="none"/>
              </w:rPr>
              <w:t>30</w:t>
            </w:r>
          </w:p>
        </w:tc>
      </w:tr>
      <w:tr w14:paraId="431C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C6B31B">
            <w:pPr>
              <w:jc w:val="center"/>
              <w:rPr>
                <w:rFonts w:hint="eastAsia" w:ascii="Times New Roman" w:hAnsi="Times New Roman" w:eastAsia="宋体" w:cs="Times New Roman"/>
                <w:kern w:val="2"/>
                <w:sz w:val="24"/>
                <w:szCs w:val="24"/>
                <w:lang w:val="en-US" w:eastAsia="zh-CN" w:bidi="ar-SA"/>
              </w:rPr>
            </w:pPr>
            <w:r>
              <w:rPr>
                <w:rFonts w:hint="eastAsia"/>
                <w:sz w:val="24"/>
                <w:szCs w:val="24"/>
              </w:rPr>
              <w:t>地点</w:t>
            </w:r>
            <w:r>
              <w:rPr>
                <w:rFonts w:hint="eastAsia" w:ascii="宋体" w:hAnsi="宋体"/>
                <w:sz w:val="24"/>
                <w:szCs w:val="24"/>
              </w:rPr>
              <w:t>/</w:t>
            </w:r>
            <w:r>
              <w:rPr>
                <w:rFonts w:hint="eastAsia"/>
                <w:sz w:val="24"/>
                <w:szCs w:val="24"/>
              </w:rPr>
              <w:t>方式</w:t>
            </w:r>
          </w:p>
        </w:tc>
        <w:tc>
          <w:tcPr>
            <w:tcW w:w="772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E76B42D">
            <w:pPr>
              <w:rPr>
                <w:rFonts w:ascii="宋体" w:hAnsi="宋体"/>
                <w:bCs/>
                <w:sz w:val="24"/>
              </w:rPr>
            </w:pPr>
            <w:r>
              <w:rPr>
                <w:rFonts w:hint="eastAsia" w:ascii="宋体" w:hAnsi="宋体"/>
                <w:bCs/>
                <w:sz w:val="24"/>
              </w:rPr>
              <w:t>上证路演中心</w:t>
            </w:r>
            <w:r>
              <w:rPr>
                <w:rFonts w:hint="eastAsia" w:ascii="宋体" w:hAnsi="宋体"/>
                <w:bCs/>
                <w:color w:val="auto"/>
                <w:sz w:val="24"/>
                <w:u w:val="none"/>
              </w:rPr>
              <w:t>https</w:t>
            </w:r>
            <w:r>
              <w:rPr>
                <w:rFonts w:hint="eastAsia" w:ascii="宋体" w:hAnsi="宋体"/>
                <w:bCs/>
                <w:color w:val="auto"/>
                <w:sz w:val="24"/>
                <w:u w:val="none"/>
                <w:lang w:eastAsia="zh-CN"/>
              </w:rPr>
              <w:t>：</w:t>
            </w:r>
            <w:r>
              <w:rPr>
                <w:rFonts w:hint="eastAsia" w:ascii="宋体" w:hAnsi="宋体"/>
                <w:bCs/>
                <w:color w:val="auto"/>
                <w:sz w:val="24"/>
                <w:u w:val="none"/>
              </w:rPr>
              <w:t>//roadshow.sseinfo.com</w:t>
            </w:r>
          </w:p>
          <w:p w14:paraId="7711816C">
            <w:pPr>
              <w:rPr>
                <w:rFonts w:hint="eastAsia" w:ascii="Times New Roman" w:hAnsi="Times New Roman" w:eastAsia="宋体" w:cs="Times New Roman"/>
                <w:kern w:val="2"/>
                <w:sz w:val="24"/>
                <w:szCs w:val="24"/>
                <w:lang w:val="en-GB" w:eastAsia="zh-CN" w:bidi="ar-SA"/>
              </w:rPr>
            </w:pPr>
            <w:r>
              <w:rPr>
                <w:rFonts w:hint="eastAsia" w:ascii="宋体" w:hAnsi="宋体"/>
                <w:bCs/>
                <w:sz w:val="24"/>
              </w:rPr>
              <w:t>视频录播+网络文字互动</w:t>
            </w:r>
          </w:p>
        </w:tc>
      </w:tr>
      <w:tr w14:paraId="0EBD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2A0993">
            <w:pPr>
              <w:jc w:val="center"/>
              <w:rPr>
                <w:rFonts w:hint="eastAsia" w:ascii="Times New Roman" w:hAnsi="Times New Roman" w:eastAsia="宋体" w:cs="Times New Roman"/>
                <w:kern w:val="2"/>
                <w:sz w:val="24"/>
                <w:szCs w:val="24"/>
                <w:lang w:val="en-US" w:eastAsia="zh-CN" w:bidi="ar-SA"/>
              </w:rPr>
            </w:pPr>
            <w:r>
              <w:rPr>
                <w:rFonts w:hint="eastAsia"/>
                <w:sz w:val="24"/>
                <w:szCs w:val="24"/>
              </w:rPr>
              <w:t>参会人员</w:t>
            </w:r>
          </w:p>
        </w:tc>
        <w:tc>
          <w:tcPr>
            <w:tcW w:w="77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EB27D7">
            <w:pPr>
              <w:spacing w:line="360" w:lineRule="auto"/>
              <w:rPr>
                <w:rFonts w:hint="eastAsia" w:ascii="Times New Roman" w:hAnsi="Times New Roman" w:eastAsia="宋体" w:cs="Times New Roman"/>
                <w:kern w:val="2"/>
                <w:sz w:val="24"/>
                <w:szCs w:val="24"/>
                <w:lang w:val="en-GB" w:eastAsia="zh-CN" w:bidi="ar-SA"/>
              </w:rPr>
            </w:pPr>
            <w:r>
              <w:rPr>
                <w:rFonts w:hint="eastAsia" w:ascii="宋体" w:hAnsi="宋体" w:eastAsia="宋体" w:cs="宋体"/>
                <w:sz w:val="24"/>
                <w:szCs w:val="24"/>
              </w:rPr>
              <w:t>董事长：李国璋</w:t>
            </w:r>
            <w:r>
              <w:rPr>
                <w:rFonts w:hint="eastAsia" w:ascii="宋体" w:hAnsi="宋体" w:cs="宋体"/>
                <w:sz w:val="24"/>
                <w:szCs w:val="24"/>
                <w:lang w:eastAsia="zh-CN"/>
              </w:rPr>
              <w:t>，</w:t>
            </w:r>
            <w:r>
              <w:rPr>
                <w:rFonts w:hint="eastAsia" w:ascii="宋体" w:hAnsi="宋体" w:eastAsia="宋体" w:cs="宋体"/>
                <w:sz w:val="24"/>
                <w:szCs w:val="24"/>
              </w:rPr>
              <w:t>独立董事：郭月梅</w:t>
            </w:r>
            <w:r>
              <w:rPr>
                <w:rFonts w:hint="eastAsia" w:ascii="宋体" w:hAnsi="宋体" w:cs="宋体"/>
                <w:sz w:val="24"/>
                <w:szCs w:val="24"/>
                <w:lang w:eastAsia="zh-CN"/>
              </w:rPr>
              <w:t>，</w:t>
            </w:r>
            <w:r>
              <w:rPr>
                <w:rFonts w:hint="eastAsia" w:ascii="宋体" w:hAnsi="宋体" w:eastAsia="宋体" w:cs="宋体"/>
                <w:sz w:val="24"/>
                <w:szCs w:val="24"/>
              </w:rPr>
              <w:t>董事、副总经理、财务负责人：王琛</w:t>
            </w:r>
            <w:r>
              <w:rPr>
                <w:rFonts w:hint="eastAsia" w:ascii="宋体" w:hAnsi="宋体" w:cs="宋体"/>
                <w:sz w:val="24"/>
                <w:szCs w:val="24"/>
                <w:lang w:eastAsia="zh-CN"/>
              </w:rPr>
              <w:t>，</w:t>
            </w:r>
            <w:r>
              <w:rPr>
                <w:rFonts w:hint="eastAsia" w:ascii="宋体" w:hAnsi="宋体" w:eastAsia="宋体" w:cs="宋体"/>
                <w:sz w:val="24"/>
                <w:szCs w:val="24"/>
              </w:rPr>
              <w:t>董事会秘书：鲍伯颖</w:t>
            </w:r>
          </w:p>
        </w:tc>
      </w:tr>
      <w:tr w14:paraId="110E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dxa"/>
            <w:tcBorders>
              <w:top w:val="single" w:color="auto" w:sz="4" w:space="0"/>
              <w:left w:val="single" w:color="auto" w:sz="4" w:space="0"/>
              <w:bottom w:val="single" w:color="auto" w:sz="4" w:space="0"/>
              <w:right w:val="single" w:color="auto" w:sz="4" w:space="0"/>
            </w:tcBorders>
            <w:noWrap w:val="0"/>
            <w:vAlign w:val="center"/>
          </w:tcPr>
          <w:p w14:paraId="4910B35D">
            <w:pPr>
              <w:spacing w:line="420" w:lineRule="exact"/>
              <w:jc w:val="both"/>
              <w:rPr>
                <w:rFonts w:hint="eastAsia" w:ascii="宋体" w:hAnsi="宋体" w:cs="宋体"/>
                <w:bCs/>
                <w:iCs/>
                <w:color w:val="auto"/>
                <w:sz w:val="24"/>
              </w:rPr>
            </w:pPr>
            <w:r>
              <w:rPr>
                <w:rFonts w:hint="eastAsia" w:ascii="宋体" w:hAnsi="宋体" w:cs="宋体"/>
                <w:bCs/>
                <w:iCs/>
                <w:color w:val="auto"/>
                <w:kern w:val="0"/>
                <w:sz w:val="24"/>
              </w:rPr>
              <w:t>投资者关系活动主要内容介绍</w:t>
            </w:r>
          </w:p>
        </w:tc>
        <w:tc>
          <w:tcPr>
            <w:tcW w:w="7723" w:type="dxa"/>
            <w:tcBorders>
              <w:top w:val="single" w:color="auto" w:sz="4" w:space="0"/>
              <w:left w:val="single" w:color="auto" w:sz="4" w:space="0"/>
              <w:bottom w:val="single" w:color="auto" w:sz="4" w:space="0"/>
              <w:right w:val="single" w:color="auto" w:sz="4" w:space="0"/>
            </w:tcBorders>
            <w:noWrap w:val="0"/>
            <w:vAlign w:val="top"/>
          </w:tcPr>
          <w:p w14:paraId="13022B77">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1.请问定增项目当前推进进度，预计落地时间？</w:t>
            </w:r>
          </w:p>
          <w:p w14:paraId="0B5B9855">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于2026年8月6日召开第十一届董事会第十九次会议，审议通过公司2026年度向特定对象发行A股股票方案等相关议案。本次发行尚需履行国有资产管理部门审批、公司股东会审议、上交所审核以及中国证监会同意注册等程序后方可实施。公司将按照相关法律法规及时履行信息披露义务，敬请广大投资者注意投资风险。</w:t>
            </w:r>
          </w:p>
          <w:p w14:paraId="5FFF6FA5">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2.半年报显示，公司产品在新能源方面销售30亿左右，在特种化学品和新材料方面销售30亿左右，请问，新能源和特种化学品和新材料主要包括哪些产品？</w:t>
            </w:r>
          </w:p>
          <w:p w14:paraId="793C9973">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新能源材料板块主要涵盖磷酸铁、磷酸铁锂、磷酸二氢锂等产品，特种化学品主要包括食品添加剂以及电子级DMSO、存储元器件用次磷酸钠、磷化剂系列产品、电子化学品等高端化工材料产品。上述板块作为公司研发投入的重点方向，公司将持续加大技术创新与产品开发力度，不断推出高附加值新产品，着力提升板块整体盈利水平和对公司的利润贡献，以高质量发展回报广大投资者。</w:t>
            </w:r>
          </w:p>
          <w:p w14:paraId="77742427">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3.请问草甘膦下游需求是否有所变化，成本库存量如何，有无下调开工率情况？</w:t>
            </w:r>
          </w:p>
          <w:p w14:paraId="3B4DB76B">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答：谢谢您对公司的关注！目前草甘膦行业开工率保持正常水平，随着下游需求季节性回暖，预计销售价格将呈现稳中有升态势。公司将持续关注市场动态，优化生产经营策略，以稳健经营回报广大投资者。</w:t>
            </w:r>
          </w:p>
          <w:p w14:paraId="4B28437C">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4.今年硫磺价格高位运行，为下游湿法磷化工和磷肥企业带来成本压力。贵司将采取哪些举措以进一步缓解成本压力？今年上半年，贵司新能源材料显著放量，贡献较大营收规模。接下来贵司在新能源材料业务布局方面有何战略规划？谢谢！</w:t>
            </w:r>
          </w:p>
          <w:p w14:paraId="7E2AB55B">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val="0"/>
                <w:bCs w:val="0"/>
                <w:color w:val="auto"/>
                <w:sz w:val="24"/>
                <w:lang w:val="en-US" w:eastAsia="zh-CN"/>
                <w:woUserID w:val="0"/>
              </w:rPr>
              <w:t>答：谢谢您对公司的关注！针对硫磺价格高位运行带来的成本压力，公司主要采取如下措施：一是优化采购管理，通过政策保供、长协采购、滚动备库等手段平滑采购成本；二是推进技术改造，降低湿法磷酸、硫磺单位消耗，加强副产稀硫酸与磷石膏综合利用；三是优化生产调度，做好物料科学统筹，使用热法酸替代其他板块对湿法酸的需求，以控制用酸成本。新能源材料作为公司“十五五”期间重点培育的战略性新兴产业，公司将立足自身资源禀赋与技术优势，持续提升产业竞争力，着力将其打造成为公司支柱产业。</w:t>
            </w:r>
          </w:p>
          <w:p w14:paraId="12F54B98">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5.公司磷酸铁锂项目年内投产规划，比亚迪订单后续放量预期如何？</w:t>
            </w:r>
          </w:p>
          <w:p w14:paraId="73793075">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答：谢谢您对公司的关注！公司孙公司内蒙兴发10万吨/年磷酸铁锂项目预计年内建成投产。</w:t>
            </w:r>
          </w:p>
          <w:p w14:paraId="6F168BC9">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6.当前，兴发集团的股价29元，已经跌破2026年的员工持股平台买入成本，公司发展前景一片光明，为何股价却十分低迷，未来是否采取有力措施来维护公司市值和广大投资者的利益？谢谢！</w:t>
            </w:r>
          </w:p>
          <w:p w14:paraId="7BE7E801">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始终高度重视市值管理和投资者利益保护，已采取股份回购、现金分红等多种方式维护公司市值；二级市场股价受宏观经济、行业周期、市场情绪、资金面、投资者预期等多重因素综合影响，短期可能与公司经营基本面存在偏离。未来公司将持续聚焦主业、提升经营质量，以稳健经营和高质量发展回报广大投资者，具体措施将根据市场环境及公司实际情况综合研判、审慎决策并依法履行信息披露义务。</w:t>
            </w:r>
          </w:p>
          <w:p w14:paraId="21CA06F8">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7.请展望一下今明两年兴发集团在草甘膦和有机硅的行业发展中的优劣势？谢谢！</w:t>
            </w:r>
          </w:p>
          <w:p w14:paraId="0E97AE61">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草甘膦方面，公司具备23万吨/年原药产能（国内第一、全球第二），独家制定FAO国际标准，工艺与环保积累深厚；主要挑战是价格周期性波动及海外贸易环境变化。有机硅方面，现有单体产能60万吨/年，产品线完整，与草甘膦形成“磷-硅-氯”循环一体化；2026年上半年行业无新增产能，DMC价格自低位回升，盈利呈改善趋势。公司将持续聚焦“精细磷化工”主业，通过一体化循环与产品结构高端化，努力降低周期波动对业绩的影响。</w:t>
            </w:r>
          </w:p>
          <w:p w14:paraId="3464747A">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8.请问截止目前股东人数是多少？谢谢！</w:t>
            </w:r>
          </w:p>
          <w:p w14:paraId="406CC825">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答：谢谢您对公司的关注！截至2026年9月10日，公司股东户数为111,823户。</w:t>
            </w:r>
          </w:p>
          <w:p w14:paraId="65408066">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9.请问公司智能凿岩机器人是公司自己研发并生产的吗？有对外销售吗？谢谢！</w:t>
            </w:r>
          </w:p>
          <w:p w14:paraId="1CE895A9">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val="0"/>
                <w:bCs w:val="0"/>
                <w:color w:val="auto"/>
                <w:sz w:val="24"/>
                <w:lang w:val="en-US" w:eastAsia="zh-CN"/>
                <w:woUserID w:val="0"/>
              </w:rPr>
            </w:pPr>
            <w:r>
              <w:rPr>
                <w:rFonts w:hint="eastAsia" w:ascii="宋体" w:hAnsi="宋体" w:cs="宋体"/>
                <w:b w:val="0"/>
                <w:bCs w:val="0"/>
                <w:color w:val="auto"/>
                <w:sz w:val="24"/>
                <w:lang w:val="en-US" w:eastAsia="zh-CN"/>
                <w:woUserID w:val="0"/>
              </w:rPr>
              <w:t>答：谢谢您对公司的关注！公司与合作伙伴联合研发生产的智能凿岩机器人主要用于公司自有矿山，暂未考虑对外销售。</w:t>
            </w:r>
          </w:p>
          <w:p w14:paraId="36103B9A">
            <w:pPr>
              <w:numPr>
                <w:ilvl w:val="0"/>
                <w:numId w:val="0"/>
              </w:numPr>
              <w:adjustRightInd/>
              <w:snapToGrid/>
              <w:spacing w:beforeAutospacing="0" w:afterAutospacing="0" w:line="540" w:lineRule="exact"/>
              <w:ind w:left="0" w:leftChars="0" w:firstLine="446" w:firstLineChars="200"/>
              <w:jc w:val="both"/>
              <w:rPr>
                <w:rFonts w:hint="eastAsia" w:ascii="宋体" w:hAnsi="宋体" w:cs="宋体"/>
                <w:b/>
                <w:bCs/>
                <w:color w:val="auto"/>
                <w:sz w:val="24"/>
                <w:lang w:val="en-US" w:eastAsia="zh-CN"/>
                <w:woUserID w:val="0"/>
              </w:rPr>
            </w:pPr>
            <w:r>
              <w:rPr>
                <w:rFonts w:hint="eastAsia" w:ascii="宋体" w:hAnsi="宋体" w:cs="宋体"/>
                <w:b/>
                <w:bCs/>
                <w:color w:val="auto"/>
                <w:sz w:val="24"/>
                <w:lang w:val="en-US" w:eastAsia="zh-CN"/>
                <w:woUserID w:val="0"/>
              </w:rPr>
              <w:t>10.</w:t>
            </w:r>
            <w:bookmarkStart w:id="0" w:name="_GoBack"/>
            <w:bookmarkEnd w:id="0"/>
            <w:r>
              <w:rPr>
                <w:rFonts w:hint="eastAsia" w:ascii="宋体" w:hAnsi="宋体" w:cs="宋体"/>
                <w:b/>
                <w:bCs/>
                <w:color w:val="auto"/>
                <w:sz w:val="24"/>
                <w:lang w:val="en-US" w:eastAsia="zh-CN"/>
                <w:woUserID w:val="0"/>
              </w:rPr>
              <w:t>根据2026年半年度报告第104页记载，公司投资到长存产业投资基金的资金由原来的7000万元追加到1亿元，而长存产业投资基金又主要投资了长江存储，请问公司基于什么考量还加码投资呢？谢谢！</w:t>
            </w:r>
          </w:p>
          <w:p w14:paraId="5F872CEC">
            <w:pPr>
              <w:numPr>
                <w:ilvl w:val="0"/>
                <w:numId w:val="0"/>
              </w:numPr>
              <w:adjustRightInd/>
              <w:snapToGrid/>
              <w:spacing w:beforeAutospacing="0" w:afterAutospacing="0" w:line="540" w:lineRule="exact"/>
              <w:ind w:left="0" w:leftChars="0" w:firstLine="446" w:firstLineChars="200"/>
              <w:jc w:val="both"/>
              <w:rPr>
                <w:rFonts w:hint="default" w:ascii="siyuan" w:hAnsi="siyuan" w:eastAsia="siyuan" w:cs="siyuan"/>
                <w:i w:val="0"/>
                <w:iCs w:val="0"/>
                <w:caps w:val="0"/>
                <w:color w:val="00040D"/>
                <w:spacing w:val="0"/>
                <w:sz w:val="21"/>
                <w:szCs w:val="21"/>
                <w:shd w:val="clear" w:fill="FFFFFF"/>
                <w:lang w:val="en-US" w:eastAsia="zh-CN"/>
              </w:rPr>
            </w:pPr>
            <w:r>
              <w:rPr>
                <w:rFonts w:hint="eastAsia" w:ascii="宋体" w:hAnsi="宋体" w:cs="宋体"/>
                <w:b w:val="0"/>
                <w:bCs w:val="0"/>
                <w:color w:val="auto"/>
                <w:sz w:val="24"/>
                <w:lang w:val="en-US" w:eastAsia="zh-CN"/>
                <w:woUserID w:val="0"/>
              </w:rPr>
              <w:t>答：谢谢您对公司的关注！公司参与长存产业投资基金，主要基于公司战略发展和产业布局的统筹考虑。该基金属于公司围绕电子化学品板块下游企业的投资布局，公司希望通过参与产业基金的方式，借助专业投资机构的资源和管理经验，了解相关产业链的前沿发展情况，推动公司电子化学品板块的发展。</w:t>
            </w:r>
          </w:p>
        </w:tc>
      </w:tr>
      <w:tr w14:paraId="18CE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1319" w:type="dxa"/>
            <w:tcBorders>
              <w:top w:val="single" w:color="auto" w:sz="4" w:space="0"/>
              <w:left w:val="single" w:color="auto" w:sz="4" w:space="0"/>
              <w:bottom w:val="single" w:color="auto" w:sz="4" w:space="0"/>
              <w:right w:val="single" w:color="auto" w:sz="4" w:space="0"/>
            </w:tcBorders>
            <w:noWrap w:val="0"/>
            <w:vAlign w:val="center"/>
          </w:tcPr>
          <w:p w14:paraId="30926E74">
            <w:pPr>
              <w:spacing w:line="420" w:lineRule="exact"/>
              <w:rPr>
                <w:rFonts w:hint="eastAsia" w:ascii="宋体" w:hAnsi="宋体" w:cs="宋体"/>
                <w:bCs/>
                <w:iCs/>
                <w:color w:val="auto"/>
                <w:kern w:val="0"/>
                <w:sz w:val="24"/>
              </w:rPr>
            </w:pPr>
            <w:r>
              <w:rPr>
                <w:rFonts w:hint="eastAsia" w:ascii="宋体" w:hAnsi="宋体" w:cs="宋体"/>
                <w:bCs/>
                <w:iCs/>
                <w:color w:val="auto"/>
                <w:kern w:val="0"/>
                <w:sz w:val="24"/>
              </w:rPr>
              <w:t>附件清单（如有）</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3C20FF0E">
            <w:pPr>
              <w:spacing w:line="540" w:lineRule="exact"/>
              <w:jc w:val="both"/>
              <w:rPr>
                <w:rFonts w:hint="eastAsia" w:ascii="宋体" w:hAnsi="宋体" w:eastAsia="宋体" w:cs="宋体"/>
                <w:bCs/>
                <w:iCs/>
                <w:color w:val="auto"/>
                <w:sz w:val="24"/>
                <w:lang w:val="en-US" w:eastAsia="zh-CN"/>
              </w:rPr>
            </w:pPr>
            <w:r>
              <w:rPr>
                <w:rFonts w:hint="eastAsia" w:ascii="宋体" w:hAnsi="宋体" w:cs="宋体"/>
                <w:bCs/>
                <w:iCs/>
                <w:color w:val="auto"/>
                <w:sz w:val="24"/>
                <w:lang w:val="en-US" w:eastAsia="zh-CN"/>
              </w:rPr>
              <w:t>无</w:t>
            </w:r>
          </w:p>
        </w:tc>
      </w:tr>
      <w:tr w14:paraId="5AB4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319" w:type="dxa"/>
            <w:tcBorders>
              <w:top w:val="single" w:color="auto" w:sz="4" w:space="0"/>
              <w:left w:val="single" w:color="auto" w:sz="4" w:space="0"/>
              <w:bottom w:val="single" w:color="auto" w:sz="4" w:space="0"/>
              <w:right w:val="single" w:color="auto" w:sz="4" w:space="0"/>
            </w:tcBorders>
            <w:noWrap w:val="0"/>
            <w:vAlign w:val="center"/>
          </w:tcPr>
          <w:p w14:paraId="2855ACED">
            <w:pPr>
              <w:spacing w:line="420" w:lineRule="exact"/>
              <w:rPr>
                <w:rFonts w:hint="eastAsia" w:ascii="宋体" w:hAnsi="宋体" w:cs="宋体"/>
                <w:bCs/>
                <w:iCs/>
                <w:color w:val="auto"/>
                <w:kern w:val="0"/>
                <w:sz w:val="24"/>
              </w:rPr>
            </w:pPr>
            <w:r>
              <w:rPr>
                <w:rFonts w:hint="eastAsia" w:ascii="宋体" w:hAnsi="宋体" w:cs="宋体"/>
                <w:bCs/>
                <w:iCs/>
                <w:color w:val="auto"/>
                <w:kern w:val="0"/>
                <w:sz w:val="24"/>
              </w:rPr>
              <w:t>日期</w:t>
            </w:r>
          </w:p>
        </w:tc>
        <w:tc>
          <w:tcPr>
            <w:tcW w:w="7723" w:type="dxa"/>
            <w:tcBorders>
              <w:top w:val="single" w:color="auto" w:sz="4" w:space="0"/>
              <w:left w:val="single" w:color="auto" w:sz="4" w:space="0"/>
              <w:bottom w:val="single" w:color="auto" w:sz="4" w:space="0"/>
              <w:right w:val="single" w:color="auto" w:sz="4" w:space="0"/>
            </w:tcBorders>
            <w:noWrap w:val="0"/>
            <w:vAlign w:val="top"/>
          </w:tcPr>
          <w:p w14:paraId="782F3D13">
            <w:pPr>
              <w:spacing w:line="540" w:lineRule="exact"/>
              <w:rPr>
                <w:rFonts w:hint="eastAsia" w:ascii="宋体" w:hAnsi="宋体" w:eastAsia="宋体" w:cs="宋体"/>
                <w:bCs/>
                <w:iCs/>
                <w:color w:val="auto"/>
                <w:sz w:val="24"/>
                <w:lang w:val="en-US" w:eastAsia="zh-CN"/>
              </w:rPr>
            </w:pPr>
            <w:r>
              <w:rPr>
                <w:rFonts w:hint="eastAsia" w:ascii="宋体" w:hAnsi="宋体" w:eastAsia="宋体" w:cs="宋体"/>
                <w:bCs/>
                <w:iCs/>
                <w:color w:val="auto"/>
                <w:sz w:val="24"/>
              </w:rPr>
              <w:t>202</w:t>
            </w:r>
            <w:r>
              <w:rPr>
                <w:rFonts w:hint="eastAsia" w:ascii="宋体" w:hAnsi="宋体" w:eastAsia="宋体" w:cs="宋体"/>
                <w:bCs/>
                <w:iCs/>
                <w:color w:val="auto"/>
                <w:sz w:val="24"/>
                <w:lang w:val="en-US" w:eastAsia="zh-CN"/>
              </w:rPr>
              <w:t>6年</w:t>
            </w:r>
            <w:r>
              <w:rPr>
                <w:rFonts w:hint="eastAsia" w:ascii="宋体" w:hAnsi="宋体" w:cs="宋体"/>
                <w:bCs/>
                <w:iCs/>
                <w:color w:val="auto"/>
                <w:sz w:val="24"/>
                <w:lang w:val="en-US" w:eastAsia="zh-CN"/>
              </w:rPr>
              <w:t>9</w:t>
            </w:r>
            <w:r>
              <w:rPr>
                <w:rFonts w:hint="eastAsia" w:ascii="宋体" w:hAnsi="宋体" w:eastAsia="宋体" w:cs="宋体"/>
                <w:bCs/>
                <w:iCs/>
                <w:color w:val="auto"/>
                <w:sz w:val="24"/>
                <w:lang w:val="en-US" w:eastAsia="zh-CN"/>
              </w:rPr>
              <w:t>月</w:t>
            </w:r>
            <w:r>
              <w:rPr>
                <w:rFonts w:hint="eastAsia" w:ascii="宋体" w:hAnsi="宋体" w:cs="宋体"/>
                <w:bCs/>
                <w:iCs/>
                <w:color w:val="auto"/>
                <w:sz w:val="24"/>
                <w:lang w:val="en-US" w:eastAsia="zh-CN"/>
              </w:rPr>
              <w:t>17</w:t>
            </w:r>
            <w:r>
              <w:rPr>
                <w:rFonts w:hint="eastAsia" w:ascii="宋体" w:hAnsi="宋体" w:eastAsia="宋体" w:cs="宋体"/>
                <w:bCs/>
                <w:iCs/>
                <w:color w:val="auto"/>
                <w:sz w:val="24"/>
                <w:lang w:val="en-US" w:eastAsia="zh-CN"/>
              </w:rPr>
              <w:t>日</w:t>
            </w:r>
          </w:p>
        </w:tc>
      </w:tr>
    </w:tbl>
    <w:p w14:paraId="2F324FF7"/>
    <w:sectPr>
      <w:headerReference r:id="rId3" w:type="default"/>
      <w:footerReference r:id="rId4" w:type="default"/>
      <w:pgSz w:w="11906" w:h="16838"/>
      <w:pgMar w:top="2098" w:right="1474" w:bottom="1984" w:left="1587" w:header="851" w:footer="1417" w:gutter="0"/>
      <w:cols w:space="0" w:num="1"/>
      <w:rtlGutter w:val="0"/>
      <w:docGrid w:type="linesAndChars" w:linePitch="289" w:charSpace="-36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iyu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3BDE">
    <w:pPr>
      <w:pStyle w:val="3"/>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BC579">
    <w:pPr>
      <w:pStyle w:val="4"/>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96"/>
  <w:drawingGridVerticalSpacing w:val="14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25A4"/>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552E"/>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2232600"/>
    <w:rsid w:val="02532124"/>
    <w:rsid w:val="02CF5C27"/>
    <w:rsid w:val="030D4227"/>
    <w:rsid w:val="03C21D37"/>
    <w:rsid w:val="03D80B70"/>
    <w:rsid w:val="03F5128D"/>
    <w:rsid w:val="03FD733F"/>
    <w:rsid w:val="0423797B"/>
    <w:rsid w:val="042E687F"/>
    <w:rsid w:val="048C4D13"/>
    <w:rsid w:val="052B7A60"/>
    <w:rsid w:val="054A2512"/>
    <w:rsid w:val="05DF27F2"/>
    <w:rsid w:val="06392A5C"/>
    <w:rsid w:val="065D33BA"/>
    <w:rsid w:val="068A37E4"/>
    <w:rsid w:val="06EF3F51"/>
    <w:rsid w:val="08736595"/>
    <w:rsid w:val="09580060"/>
    <w:rsid w:val="09C5371C"/>
    <w:rsid w:val="0A300503"/>
    <w:rsid w:val="0A645BE5"/>
    <w:rsid w:val="0A821835"/>
    <w:rsid w:val="0BF974D2"/>
    <w:rsid w:val="0C833643"/>
    <w:rsid w:val="0D547F42"/>
    <w:rsid w:val="0DED3021"/>
    <w:rsid w:val="0E952400"/>
    <w:rsid w:val="10B416E8"/>
    <w:rsid w:val="10FC235B"/>
    <w:rsid w:val="11285A31"/>
    <w:rsid w:val="113061F0"/>
    <w:rsid w:val="1170063A"/>
    <w:rsid w:val="11746E38"/>
    <w:rsid w:val="122375E8"/>
    <w:rsid w:val="12930507"/>
    <w:rsid w:val="12F2507E"/>
    <w:rsid w:val="13317ED1"/>
    <w:rsid w:val="13B66EF0"/>
    <w:rsid w:val="142A0896"/>
    <w:rsid w:val="143A45F0"/>
    <w:rsid w:val="144906E6"/>
    <w:rsid w:val="145F6743"/>
    <w:rsid w:val="14B922F8"/>
    <w:rsid w:val="152741FB"/>
    <w:rsid w:val="15EC04AB"/>
    <w:rsid w:val="16576640"/>
    <w:rsid w:val="165B5686"/>
    <w:rsid w:val="166746CF"/>
    <w:rsid w:val="16D16A29"/>
    <w:rsid w:val="16F46E3D"/>
    <w:rsid w:val="170E303E"/>
    <w:rsid w:val="171425CE"/>
    <w:rsid w:val="17BEA0DD"/>
    <w:rsid w:val="17E66FDC"/>
    <w:rsid w:val="185D743E"/>
    <w:rsid w:val="18CD7B87"/>
    <w:rsid w:val="19BA7673"/>
    <w:rsid w:val="19E2798E"/>
    <w:rsid w:val="1ABC422F"/>
    <w:rsid w:val="1B2418A5"/>
    <w:rsid w:val="1BC2741A"/>
    <w:rsid w:val="1BD0352B"/>
    <w:rsid w:val="1C7A3345"/>
    <w:rsid w:val="1CC659C3"/>
    <w:rsid w:val="1CFC5477"/>
    <w:rsid w:val="1D434E54"/>
    <w:rsid w:val="1DA069E6"/>
    <w:rsid w:val="1DF77238"/>
    <w:rsid w:val="1E62755C"/>
    <w:rsid w:val="1E6A4663"/>
    <w:rsid w:val="1F792DAF"/>
    <w:rsid w:val="1FBFC074"/>
    <w:rsid w:val="1FD4357D"/>
    <w:rsid w:val="1FF955F6"/>
    <w:rsid w:val="20052895"/>
    <w:rsid w:val="20947775"/>
    <w:rsid w:val="2124626D"/>
    <w:rsid w:val="213A7389"/>
    <w:rsid w:val="21654CF2"/>
    <w:rsid w:val="216F3773"/>
    <w:rsid w:val="21C978F2"/>
    <w:rsid w:val="22087C6F"/>
    <w:rsid w:val="2217457B"/>
    <w:rsid w:val="222039B6"/>
    <w:rsid w:val="22442507"/>
    <w:rsid w:val="236C0B28"/>
    <w:rsid w:val="23CF84A7"/>
    <w:rsid w:val="243C5FC4"/>
    <w:rsid w:val="245711E5"/>
    <w:rsid w:val="24A51334"/>
    <w:rsid w:val="24E2187F"/>
    <w:rsid w:val="25817E25"/>
    <w:rsid w:val="25C77302"/>
    <w:rsid w:val="25ED4EEF"/>
    <w:rsid w:val="26A07E4D"/>
    <w:rsid w:val="26FB22FC"/>
    <w:rsid w:val="276C31F9"/>
    <w:rsid w:val="27902683"/>
    <w:rsid w:val="27B32BD6"/>
    <w:rsid w:val="27ED5A76"/>
    <w:rsid w:val="28656026"/>
    <w:rsid w:val="286A2CF1"/>
    <w:rsid w:val="29286B8A"/>
    <w:rsid w:val="29501719"/>
    <w:rsid w:val="295B172A"/>
    <w:rsid w:val="29A84734"/>
    <w:rsid w:val="29A849F2"/>
    <w:rsid w:val="29F00E6B"/>
    <w:rsid w:val="2A802452"/>
    <w:rsid w:val="2A8C216F"/>
    <w:rsid w:val="2B4B2E19"/>
    <w:rsid w:val="2B4F2FD9"/>
    <w:rsid w:val="2B9A092E"/>
    <w:rsid w:val="2BD72CB0"/>
    <w:rsid w:val="2CC6515A"/>
    <w:rsid w:val="2DF1244D"/>
    <w:rsid w:val="2E2A7E01"/>
    <w:rsid w:val="2EAD216B"/>
    <w:rsid w:val="30E958BB"/>
    <w:rsid w:val="31367D90"/>
    <w:rsid w:val="317F3994"/>
    <w:rsid w:val="32142A33"/>
    <w:rsid w:val="324234D5"/>
    <w:rsid w:val="325F51E4"/>
    <w:rsid w:val="32C65EB4"/>
    <w:rsid w:val="32DF0D23"/>
    <w:rsid w:val="33134E71"/>
    <w:rsid w:val="331627E1"/>
    <w:rsid w:val="33D40DEB"/>
    <w:rsid w:val="34311A53"/>
    <w:rsid w:val="35C53D33"/>
    <w:rsid w:val="35D408E8"/>
    <w:rsid w:val="35F23C30"/>
    <w:rsid w:val="36357A85"/>
    <w:rsid w:val="368E138D"/>
    <w:rsid w:val="36FB9E1F"/>
    <w:rsid w:val="373828C3"/>
    <w:rsid w:val="376C7F01"/>
    <w:rsid w:val="37E558B5"/>
    <w:rsid w:val="38A424F8"/>
    <w:rsid w:val="38C7273D"/>
    <w:rsid w:val="38C906C9"/>
    <w:rsid w:val="38E52E0C"/>
    <w:rsid w:val="390239BE"/>
    <w:rsid w:val="39301960"/>
    <w:rsid w:val="39BFD94B"/>
    <w:rsid w:val="39C603EA"/>
    <w:rsid w:val="3A9B4DE8"/>
    <w:rsid w:val="3AB53B4B"/>
    <w:rsid w:val="3AC5307C"/>
    <w:rsid w:val="3B44206B"/>
    <w:rsid w:val="3B991FD8"/>
    <w:rsid w:val="3BAB5F71"/>
    <w:rsid w:val="3BE509F4"/>
    <w:rsid w:val="3BFA3B96"/>
    <w:rsid w:val="3C710B37"/>
    <w:rsid w:val="3C951AAB"/>
    <w:rsid w:val="3CEF3472"/>
    <w:rsid w:val="3D284702"/>
    <w:rsid w:val="3D6A7D83"/>
    <w:rsid w:val="3D757028"/>
    <w:rsid w:val="3D9C6FA1"/>
    <w:rsid w:val="3E8E0AB9"/>
    <w:rsid w:val="3EB77B35"/>
    <w:rsid w:val="3EBC62B4"/>
    <w:rsid w:val="3EE46F4D"/>
    <w:rsid w:val="3EFF16E9"/>
    <w:rsid w:val="3F012022"/>
    <w:rsid w:val="3F5D4F73"/>
    <w:rsid w:val="3F940342"/>
    <w:rsid w:val="400B13AA"/>
    <w:rsid w:val="40754436"/>
    <w:rsid w:val="40DE6ABE"/>
    <w:rsid w:val="40FB7670"/>
    <w:rsid w:val="428D5CD5"/>
    <w:rsid w:val="43395FD9"/>
    <w:rsid w:val="43FC6D0F"/>
    <w:rsid w:val="44131BFB"/>
    <w:rsid w:val="44C91833"/>
    <w:rsid w:val="44C966C9"/>
    <w:rsid w:val="44FF1445"/>
    <w:rsid w:val="4509768C"/>
    <w:rsid w:val="450D1720"/>
    <w:rsid w:val="4588384A"/>
    <w:rsid w:val="45D43E1A"/>
    <w:rsid w:val="461B0315"/>
    <w:rsid w:val="46247E92"/>
    <w:rsid w:val="48437E17"/>
    <w:rsid w:val="487B372E"/>
    <w:rsid w:val="49837298"/>
    <w:rsid w:val="49923D6B"/>
    <w:rsid w:val="49F34163"/>
    <w:rsid w:val="4A684201"/>
    <w:rsid w:val="4A914BA1"/>
    <w:rsid w:val="4AB16FF2"/>
    <w:rsid w:val="4BC1730B"/>
    <w:rsid w:val="4BD92CFF"/>
    <w:rsid w:val="4CF95C35"/>
    <w:rsid w:val="4D616AAD"/>
    <w:rsid w:val="4D6A1312"/>
    <w:rsid w:val="4DA40C2B"/>
    <w:rsid w:val="4DB05BE6"/>
    <w:rsid w:val="4EE74B80"/>
    <w:rsid w:val="4EF733FE"/>
    <w:rsid w:val="4F0B1A4E"/>
    <w:rsid w:val="4F894099"/>
    <w:rsid w:val="4F8B0C5D"/>
    <w:rsid w:val="4FC82802"/>
    <w:rsid w:val="503404A9"/>
    <w:rsid w:val="51767A73"/>
    <w:rsid w:val="518170C2"/>
    <w:rsid w:val="51C23892"/>
    <w:rsid w:val="51EE4E78"/>
    <w:rsid w:val="522600F9"/>
    <w:rsid w:val="52265B69"/>
    <w:rsid w:val="526E0845"/>
    <w:rsid w:val="52EB3A96"/>
    <w:rsid w:val="53570DD0"/>
    <w:rsid w:val="535D7D17"/>
    <w:rsid w:val="53672943"/>
    <w:rsid w:val="536846E4"/>
    <w:rsid w:val="53E762B8"/>
    <w:rsid w:val="53ED85E1"/>
    <w:rsid w:val="557F5067"/>
    <w:rsid w:val="55932516"/>
    <w:rsid w:val="55DF8C2A"/>
    <w:rsid w:val="55F52488"/>
    <w:rsid w:val="564C787B"/>
    <w:rsid w:val="5666493E"/>
    <w:rsid w:val="56D71E94"/>
    <w:rsid w:val="579953C3"/>
    <w:rsid w:val="57A05B5A"/>
    <w:rsid w:val="57C94437"/>
    <w:rsid w:val="584A2FE9"/>
    <w:rsid w:val="58BB7673"/>
    <w:rsid w:val="58DF2F7C"/>
    <w:rsid w:val="59306ACD"/>
    <w:rsid w:val="59485F58"/>
    <w:rsid w:val="59633FBC"/>
    <w:rsid w:val="5991071A"/>
    <w:rsid w:val="5A633722"/>
    <w:rsid w:val="5A7647AA"/>
    <w:rsid w:val="5AFDE010"/>
    <w:rsid w:val="5B0A2384"/>
    <w:rsid w:val="5B30122D"/>
    <w:rsid w:val="5BA74D09"/>
    <w:rsid w:val="5BFF6198"/>
    <w:rsid w:val="5BFFE0B5"/>
    <w:rsid w:val="5C6B34A4"/>
    <w:rsid w:val="5CA008F8"/>
    <w:rsid w:val="5CA22C3E"/>
    <w:rsid w:val="5D761BF8"/>
    <w:rsid w:val="5D97229B"/>
    <w:rsid w:val="5DC2067E"/>
    <w:rsid w:val="5E351837"/>
    <w:rsid w:val="5F3054BA"/>
    <w:rsid w:val="60A8066B"/>
    <w:rsid w:val="60B42009"/>
    <w:rsid w:val="60F17CF0"/>
    <w:rsid w:val="6109328C"/>
    <w:rsid w:val="611C3D61"/>
    <w:rsid w:val="616D783F"/>
    <w:rsid w:val="61D416AE"/>
    <w:rsid w:val="61FC5507"/>
    <w:rsid w:val="62373401"/>
    <w:rsid w:val="62DE1D76"/>
    <w:rsid w:val="62E36B28"/>
    <w:rsid w:val="62E541D8"/>
    <w:rsid w:val="631101D6"/>
    <w:rsid w:val="632F288E"/>
    <w:rsid w:val="64176023"/>
    <w:rsid w:val="64B43F9C"/>
    <w:rsid w:val="64E673B1"/>
    <w:rsid w:val="65C91FF0"/>
    <w:rsid w:val="65DE652D"/>
    <w:rsid w:val="661F7539"/>
    <w:rsid w:val="66301A19"/>
    <w:rsid w:val="66AD93E8"/>
    <w:rsid w:val="66D954CC"/>
    <w:rsid w:val="66F66060"/>
    <w:rsid w:val="671F01BE"/>
    <w:rsid w:val="674C25FD"/>
    <w:rsid w:val="6798410A"/>
    <w:rsid w:val="67DA3309"/>
    <w:rsid w:val="680B6D7B"/>
    <w:rsid w:val="68735CBF"/>
    <w:rsid w:val="698A2A90"/>
    <w:rsid w:val="6A134CFB"/>
    <w:rsid w:val="6A5916A5"/>
    <w:rsid w:val="6AAB2770"/>
    <w:rsid w:val="6AD83AD4"/>
    <w:rsid w:val="6AFC79BD"/>
    <w:rsid w:val="6B5B1A4D"/>
    <w:rsid w:val="6B76151E"/>
    <w:rsid w:val="6B8B28E6"/>
    <w:rsid w:val="6C0510B4"/>
    <w:rsid w:val="6C4B29AA"/>
    <w:rsid w:val="6C5630FD"/>
    <w:rsid w:val="6CAC63B5"/>
    <w:rsid w:val="6D4A44DB"/>
    <w:rsid w:val="6D4E79E3"/>
    <w:rsid w:val="6D6F6C53"/>
    <w:rsid w:val="6D733415"/>
    <w:rsid w:val="6D8B4ABC"/>
    <w:rsid w:val="6D9126D1"/>
    <w:rsid w:val="6DE91F83"/>
    <w:rsid w:val="6E7F8D91"/>
    <w:rsid w:val="6EEA564F"/>
    <w:rsid w:val="6F0E1408"/>
    <w:rsid w:val="6F2568A0"/>
    <w:rsid w:val="6F2F0E79"/>
    <w:rsid w:val="6FDDA084"/>
    <w:rsid w:val="6FEF389B"/>
    <w:rsid w:val="6FFEB4EF"/>
    <w:rsid w:val="704C034C"/>
    <w:rsid w:val="708537E2"/>
    <w:rsid w:val="709D12FB"/>
    <w:rsid w:val="70BD2B8D"/>
    <w:rsid w:val="70F65EFA"/>
    <w:rsid w:val="71296ECD"/>
    <w:rsid w:val="71A843FB"/>
    <w:rsid w:val="71B42DA0"/>
    <w:rsid w:val="7204624A"/>
    <w:rsid w:val="729B6BA2"/>
    <w:rsid w:val="72E15E16"/>
    <w:rsid w:val="72F018BE"/>
    <w:rsid w:val="73734C00"/>
    <w:rsid w:val="737701ED"/>
    <w:rsid w:val="73F676A0"/>
    <w:rsid w:val="73F67ACD"/>
    <w:rsid w:val="74547E66"/>
    <w:rsid w:val="74687728"/>
    <w:rsid w:val="762F5FF4"/>
    <w:rsid w:val="76896ED7"/>
    <w:rsid w:val="76AC1F41"/>
    <w:rsid w:val="76CF41D8"/>
    <w:rsid w:val="76D22715"/>
    <w:rsid w:val="77AF04BD"/>
    <w:rsid w:val="77BB645D"/>
    <w:rsid w:val="77CF73AC"/>
    <w:rsid w:val="77E741A7"/>
    <w:rsid w:val="781641A2"/>
    <w:rsid w:val="78327B21"/>
    <w:rsid w:val="789D6E46"/>
    <w:rsid w:val="78B83258"/>
    <w:rsid w:val="78FF0116"/>
    <w:rsid w:val="79715686"/>
    <w:rsid w:val="79747814"/>
    <w:rsid w:val="797C2E11"/>
    <w:rsid w:val="79BF3976"/>
    <w:rsid w:val="7AC6368A"/>
    <w:rsid w:val="7AC67532"/>
    <w:rsid w:val="7AE73808"/>
    <w:rsid w:val="7B851426"/>
    <w:rsid w:val="7BB96489"/>
    <w:rsid w:val="7BF9019C"/>
    <w:rsid w:val="7C491042"/>
    <w:rsid w:val="7C514D87"/>
    <w:rsid w:val="7C8C7528"/>
    <w:rsid w:val="7CAF10B6"/>
    <w:rsid w:val="7D047C18"/>
    <w:rsid w:val="7DF61773"/>
    <w:rsid w:val="7DFAE553"/>
    <w:rsid w:val="7E0048C7"/>
    <w:rsid w:val="7E425EB3"/>
    <w:rsid w:val="7EFE7CA5"/>
    <w:rsid w:val="7EFEBE55"/>
    <w:rsid w:val="7F3D1058"/>
    <w:rsid w:val="7F503000"/>
    <w:rsid w:val="7F9E4914"/>
    <w:rsid w:val="7FBD464C"/>
    <w:rsid w:val="7FC7E6DD"/>
    <w:rsid w:val="7FE5681A"/>
    <w:rsid w:val="7FEB08F1"/>
    <w:rsid w:val="7FF01072"/>
    <w:rsid w:val="7FFF525D"/>
    <w:rsid w:val="96FDFDF5"/>
    <w:rsid w:val="B7BC8671"/>
    <w:rsid w:val="B7DDD54D"/>
    <w:rsid w:val="B7E42C51"/>
    <w:rsid w:val="BEBC05D4"/>
    <w:rsid w:val="BEF32909"/>
    <w:rsid w:val="C565FD82"/>
    <w:rsid w:val="C7BAA04E"/>
    <w:rsid w:val="CEDA7EED"/>
    <w:rsid w:val="D2BD8933"/>
    <w:rsid w:val="D57E3F73"/>
    <w:rsid w:val="DBBE3E11"/>
    <w:rsid w:val="DBFB0218"/>
    <w:rsid w:val="DD7F7BB0"/>
    <w:rsid w:val="E36EB4A8"/>
    <w:rsid w:val="E3FFE6ED"/>
    <w:rsid w:val="EEF5929A"/>
    <w:rsid w:val="EF3B8085"/>
    <w:rsid w:val="F5DB8A63"/>
    <w:rsid w:val="F797912E"/>
    <w:rsid w:val="F7F7086F"/>
    <w:rsid w:val="F7F7966D"/>
    <w:rsid w:val="F7FD5CDE"/>
    <w:rsid w:val="F7FFEDD3"/>
    <w:rsid w:val="FBFF9A05"/>
    <w:rsid w:val="FD5BCC50"/>
    <w:rsid w:val="FDBFC161"/>
    <w:rsid w:val="FE7B4896"/>
    <w:rsid w:val="FF7F0178"/>
    <w:rsid w:val="FFA7663D"/>
    <w:rsid w:val="FFB74F5B"/>
    <w:rsid w:val="FFE6F458"/>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_Style 6"/>
    <w:basedOn w:val="1"/>
    <w:qFormat/>
    <w:uiPriority w:val="34"/>
    <w:pPr>
      <w:ind w:firstLine="420" w:firstLineChars="200"/>
    </w:pPr>
    <w:rPr>
      <w:rFonts w:ascii="Calibri" w:hAnsi="Calibri" w:eastAsia="宋体" w:cs="Times New Roman"/>
      <w:szCs w:val="22"/>
    </w:rPr>
  </w:style>
  <w:style w:type="paragraph" w:customStyle="1" w:styleId="13">
    <w:name w:val="Char Char Char"/>
    <w:basedOn w:val="1"/>
    <w:qFormat/>
    <w:uiPriority w:val="0"/>
    <w:rPr>
      <w:szCs w:val="21"/>
    </w:rPr>
  </w:style>
  <w:style w:type="paragraph" w:customStyle="1" w:styleId="14">
    <w:name w:val="Char Char Char Char Char Char Char Char Char Char Char Char Char Char Char Char"/>
    <w:basedOn w:val="1"/>
    <w:qFormat/>
    <w:uiPriority w:val="0"/>
  </w:style>
  <w:style w:type="paragraph" w:customStyle="1" w:styleId="15">
    <w:name w:val=" Char Char Char"/>
    <w:basedOn w:val="1"/>
    <w:qFormat/>
    <w:uiPriority w:val="0"/>
  </w:style>
  <w:style w:type="character" w:customStyle="1" w:styleId="16">
    <w:name w:val="页脚 Char"/>
    <w:basedOn w:val="9"/>
    <w:link w:val="3"/>
    <w:qFormat/>
    <w:uiPriority w:val="0"/>
    <w:rPr>
      <w:kern w:val="2"/>
      <w:sz w:val="18"/>
      <w:szCs w:val="18"/>
    </w:rPr>
  </w:style>
  <w:style w:type="character" w:customStyle="1" w:styleId="17">
    <w:name w:val="页眉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b1a5d3da-49f5-4712-b837-bbf073fccda0</errorID>
      <errorWord>硫磺</errorWord>
      <group>L1_Word</group>
      <groupName>字词问题</groupName>
      <ability>L2_Typo</ability>
      <abilityName>字词错误</abilityName>
      <candidateList>
        <item>硫黄</item>
      </candidateList>
      <explain/>
      <paraID>4B28437C</paraID>
      <start>4</start>
      <end>6</end>
      <status>unmodified</status>
      <modifiedWord/>
      <trackRevisions>false</trackRevisions>
    </reviewItem>
    <reviewItem>
      <errorID>948b0b65-0d48-4f30-b395-6a2fadade950</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3464747A</paraID>
      <start>4</start>
      <end>7</end>
      <status>unmodified</status>
      <modifiedWord/>
      <trackRevisions>false</trackRevisions>
    </reviewItem>
    <reviewItem>
      <errorID>780514f6-cd6a-4f4a-b007-c3b3721acbed</errorID>
      <errorWord>万</errorWord>
      <group>L1_Word</group>
      <groupName>字词问题</groupName>
      <ability>L2_Typo</ability>
      <abilityName>字词错误</abilityName>
      <candidateList>
        <item>万元</item>
      </candidateList>
      <explain/>
      <paraID>36103B9A</paraID>
      <start>47</start>
      <end>48</end>
      <status>unmodified</status>
      <modifiedWord/>
      <trackRevisions>false</trackRevisions>
    </reviewItem>
    <reviewItem>
      <errorID>11b5de7b-957f-4cb4-8feb-7e9a12a4dae3</errorID>
      <errorWord>长存</errorWord>
      <group>L1_Word</group>
      <groupName>字词问题</groupName>
      <ability>L2_Typo</ability>
      <abilityName>字词错误</abilityName>
      <candidateList>
        <item>长城</item>
      </candidateList>
      <explain/>
      <paraID>1E2C7A10</paraID>
      <start>16</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aad389b3-6958-443e-a8a0-6bea65e563aa}">
  <ds:schemaRefs/>
</ds:datastoreItem>
</file>

<file path=docProps/app.xml><?xml version="1.0" encoding="utf-8"?>
<Properties xmlns="http://schemas.openxmlformats.org/officeDocument/2006/extended-properties" xmlns:vt="http://schemas.openxmlformats.org/officeDocument/2006/docPropsVTypes">
  <Company>微软中国</Company>
  <Pages>4</Pages>
  <Words>2115</Words>
  <Characters>2229</Characters>
  <Lines>60</Lines>
  <Paragraphs>17</Paragraphs>
  <TotalTime>19</TotalTime>
  <ScaleCrop>false</ScaleCrop>
  <LinksUpToDate>false</LinksUpToDate>
  <CharactersWithSpaces>2317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2012-09-13T08:59:00Z</dcterms:created>
  <dc:creator>微软用户</dc:creator>
  <cp:lastModifiedBy>郑金京</cp:lastModifiedBy>
  <cp:lastPrinted>2014-02-25T05:34:00Z</cp:lastPrinted>
  <dcterms:modified xsi:type="dcterms:W3CDTF">2026-09-17T01:44:09Z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DA3279DF191F461D8FE74F73790D28A4_13</vt:lpwstr>
  </property>
  <property fmtid="{D5CDD505-2E9C-101B-9397-08002B2CF9AE}" pid="4" name="KSOTemplateDocerSaveRecord">
    <vt:lpwstr>eyJoZGlkIjoiN2I1YTA0OTA4Y2Y1Yjk2MTNhOTFjYWUyNmFmNjVkMTEiLCJ1c2VySWQiOiIxNTY4ODA1ODY5In0=</vt:lpwstr>
  </property>
</Properties>
</file>