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6DB9AC">
      <w:pPr>
        <w:jc w:val="left"/>
        <w:rPr>
          <w:rFonts w:hint="default" w:ascii="Times New Roman" w:hAnsi="Times New Roman"/>
          <w:sz w:val="24"/>
          <w:szCs w:val="24"/>
          <w:lang w:val="en-US"/>
        </w:rPr>
      </w:pPr>
      <w:r>
        <w:rPr>
          <w:rFonts w:hint="eastAsia" w:ascii="Times New Roman" w:hAnsi="Times New Roman"/>
          <w:sz w:val="24"/>
          <w:szCs w:val="24"/>
        </w:rPr>
        <w:t>证券代码：</w:t>
      </w:r>
      <w:r>
        <w:rPr>
          <w:rFonts w:hint="default" w:ascii="Times New Roman" w:hAnsi="Times New Roman"/>
          <w:sz w:val="24"/>
          <w:szCs w:val="24"/>
          <w:lang w:val="en-US"/>
        </w:rPr>
        <w:t>603176</w:t>
      </w:r>
      <w:r>
        <w:rPr>
          <w:rFonts w:hint="eastAsia" w:ascii="Times New Roman" w:hAnsi="Times New Roman"/>
          <w:sz w:val="24"/>
          <w:szCs w:val="24"/>
        </w:rPr>
        <w:t xml:space="preserve">            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 xml:space="preserve">       </w:t>
      </w:r>
      <w:bookmarkStart w:id="0" w:name="_GoBack"/>
      <w:bookmarkEnd w:id="0"/>
      <w:r>
        <w:rPr>
          <w:rFonts w:hint="eastAsia"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    </w:t>
      </w:r>
      <w:r>
        <w:rPr>
          <w:rFonts w:hint="eastAsia" w:ascii="Times New Roman" w:hAnsi="Times New Roman"/>
          <w:sz w:val="24"/>
          <w:szCs w:val="24"/>
        </w:rPr>
        <w:t>公司简称：</w:t>
      </w:r>
      <w:r>
        <w:rPr>
          <w:rFonts w:hint="default" w:ascii="Times New Roman" w:hAnsi="Times New Roman"/>
          <w:sz w:val="24"/>
          <w:szCs w:val="24"/>
          <w:lang w:val="en-US"/>
        </w:rPr>
        <w:t>汇通集团</w:t>
      </w:r>
    </w:p>
    <w:p w14:paraId="2AE1FA8C">
      <w:pPr>
        <w:jc w:val="center"/>
        <w:rPr>
          <w:rFonts w:hint="eastAsia" w:ascii="Times New Roman" w:hAnsi="Times New Roman" w:eastAsia="黑体"/>
          <w:sz w:val="36"/>
          <w:szCs w:val="36"/>
        </w:rPr>
      </w:pPr>
      <w:r>
        <w:rPr>
          <w:rFonts w:hint="eastAsia" w:ascii="Times New Roman" w:hAnsi="Times New Roman" w:eastAsia="黑体"/>
          <w:sz w:val="36"/>
          <w:szCs w:val="36"/>
        </w:rPr>
        <w:t>汇通建设集团股份有限公司</w:t>
      </w:r>
    </w:p>
    <w:p w14:paraId="5A578B93">
      <w:pPr>
        <w:jc w:val="center"/>
        <w:rPr>
          <w:rFonts w:ascii="Times New Roman" w:hAnsi="Times New Roman" w:eastAsia="黑体"/>
          <w:sz w:val="24"/>
          <w:szCs w:val="24"/>
        </w:rPr>
      </w:pPr>
      <w:r>
        <w:rPr>
          <w:rFonts w:hint="eastAsia" w:ascii="Times New Roman" w:hAnsi="Times New Roman" w:eastAsia="黑体"/>
          <w:sz w:val="36"/>
          <w:szCs w:val="36"/>
        </w:rPr>
        <w:t>投资者关系活动记录表</w:t>
      </w:r>
    </w:p>
    <w:p w14:paraId="1CF616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0"/>
        <w:jc w:val="right"/>
        <w:textAlignment w:val="auto"/>
        <w:rPr>
          <w:rFonts w:ascii="Times New Roman" w:hAnsi="Times New Roman" w:eastAsia="黑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="Times New Roman" w:hAnsi="Times New Roman" w:eastAsia="黑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编号：</w:t>
      </w:r>
      <w:r>
        <w:rPr>
          <w:rFonts w:hint="eastAsia" w:ascii="Times New Roman" w:hAnsi="Times New Roman"/>
          <w:color w:val="000000" w:themeColor="text1"/>
          <w:sz w:val="28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2026-002</w:t>
      </w:r>
    </w:p>
    <w:tbl>
      <w:tblPr>
        <w:tblStyle w:val="4"/>
        <w:tblW w:w="871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7191"/>
      </w:tblGrid>
      <w:tr w14:paraId="258ADA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26" w:type="dxa"/>
            <w:noWrap w:val="0"/>
            <w:vAlign w:val="center"/>
          </w:tcPr>
          <w:p w14:paraId="70A788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投资者关系活动类别</w:t>
            </w:r>
          </w:p>
        </w:tc>
        <w:tc>
          <w:tcPr>
            <w:tcW w:w="7191" w:type="dxa"/>
            <w:noWrap w:val="0"/>
            <w:vAlign w:val="center"/>
          </w:tcPr>
          <w:p w14:paraId="1BFAE1C3">
            <w:pPr>
              <w:spacing w:line="360" w:lineRule="auto"/>
              <w:jc w:val="left"/>
              <w:rPr>
                <w:rFonts w:hint="eastAsia"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</w:rPr>
              <w:t>业绩说明会</w:t>
            </w:r>
          </w:p>
        </w:tc>
      </w:tr>
      <w:tr w14:paraId="4C620C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526" w:type="dxa"/>
            <w:noWrap w:val="0"/>
            <w:vAlign w:val="center"/>
          </w:tcPr>
          <w:p w14:paraId="3EE1B4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活动主题</w:t>
            </w:r>
          </w:p>
        </w:tc>
        <w:tc>
          <w:tcPr>
            <w:tcW w:w="7191" w:type="dxa"/>
            <w:noWrap w:val="0"/>
            <w:vAlign w:val="center"/>
          </w:tcPr>
          <w:p w14:paraId="30E997B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Cs/>
                <w:iCs/>
                <w:color w:val="000000"/>
                <w:sz w:val="24"/>
                <w:highlight w:val="none"/>
                <w:lang w:val="en-GB"/>
              </w:rPr>
              <w:t>汇通集团2026年半年度业绩说明会</w:t>
            </w:r>
          </w:p>
        </w:tc>
      </w:tr>
      <w:tr w14:paraId="0CA86D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526" w:type="dxa"/>
            <w:noWrap w:val="0"/>
            <w:vAlign w:val="center"/>
          </w:tcPr>
          <w:p w14:paraId="0ECE4B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时间</w:t>
            </w:r>
          </w:p>
        </w:tc>
        <w:tc>
          <w:tcPr>
            <w:tcW w:w="7191" w:type="dxa"/>
            <w:noWrap w:val="0"/>
            <w:vAlign w:val="center"/>
          </w:tcPr>
          <w:p w14:paraId="3474006D">
            <w:pPr>
              <w:jc w:val="left"/>
              <w:rPr>
                <w:rFonts w:hint="eastAsia"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Cs/>
                <w:iCs/>
                <w:color w:val="000000"/>
                <w:sz w:val="24"/>
                <w:highlight w:val="none"/>
              </w:rPr>
              <w:t>2026</w:t>
            </w:r>
            <w:r>
              <w:rPr>
                <w:rFonts w:hint="eastAsia" w:ascii="Times New Roman" w:hAnsi="Times New Roman" w:cs="宋体"/>
                <w:bCs/>
                <w:iCs/>
                <w:color w:val="000000"/>
                <w:sz w:val="24"/>
                <w:highlight w:val="none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宋体" w:cs="宋体"/>
                <w:bCs/>
                <w:iCs/>
                <w:color w:val="000000"/>
                <w:sz w:val="24"/>
                <w:highlight w:val="none"/>
              </w:rPr>
              <w:t>09</w:t>
            </w:r>
            <w:r>
              <w:rPr>
                <w:rFonts w:hint="eastAsia" w:ascii="Times New Roman" w:hAnsi="Times New Roman" w:cs="宋体"/>
                <w:bCs/>
                <w:iCs/>
                <w:color w:val="000000"/>
                <w:sz w:val="24"/>
                <w:highlight w:val="none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宋体" w:cs="宋体"/>
                <w:bCs/>
                <w:iCs/>
                <w:color w:val="000000"/>
                <w:sz w:val="24"/>
                <w:highlight w:val="none"/>
              </w:rPr>
              <w:t>16</w:t>
            </w:r>
            <w:r>
              <w:rPr>
                <w:rFonts w:hint="eastAsia" w:ascii="Times New Roman" w:hAnsi="Times New Roman" w:cs="宋体"/>
                <w:bCs/>
                <w:iCs/>
                <w:color w:val="000000"/>
                <w:sz w:val="24"/>
                <w:highlight w:val="none"/>
                <w:lang w:val="en-US" w:eastAsia="zh-CN"/>
              </w:rPr>
              <w:t>日</w:t>
            </w:r>
            <w:r>
              <w:rPr>
                <w:rFonts w:hint="eastAsia" w:ascii="Times New Roman" w:hAnsi="Times New Roman" w:eastAsia="宋体" w:cs="宋体"/>
                <w:bCs/>
                <w:iCs/>
                <w:color w:val="000000"/>
                <w:sz w:val="24"/>
                <w:highlight w:val="none"/>
              </w:rPr>
              <w:t xml:space="preserve"> 15:00-16:00</w:t>
            </w:r>
          </w:p>
        </w:tc>
      </w:tr>
      <w:tr w14:paraId="58DC61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1526" w:type="dxa"/>
            <w:noWrap w:val="0"/>
            <w:vAlign w:val="center"/>
          </w:tcPr>
          <w:p w14:paraId="1A13B7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地点/方式</w:t>
            </w:r>
          </w:p>
        </w:tc>
        <w:tc>
          <w:tcPr>
            <w:tcW w:w="7191" w:type="dxa"/>
            <w:noWrap w:val="0"/>
            <w:vAlign w:val="center"/>
          </w:tcPr>
          <w:p w14:paraId="328FDD2C">
            <w:pPr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Cs/>
                <w:sz w:val="24"/>
              </w:rPr>
              <w:t xml:space="preserve">上证路演中心 </w:t>
            </w:r>
            <w:r>
              <w:rPr>
                <w:rFonts w:ascii="Times New Roman" w:hAnsi="Times New Roman"/>
              </w:rPr>
              <w:fldChar w:fldCharType="begin"/>
            </w:r>
            <w:r>
              <w:rPr>
                <w:rFonts w:ascii="Times New Roman" w:hAnsi="Times New Roman"/>
              </w:rPr>
              <w:instrText xml:space="preserve"> HYPERLINK "https://roadshow.sseinfo.com"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Style w:val="6"/>
                <w:rFonts w:hint="eastAsia" w:ascii="Times New Roman" w:hAnsi="Times New Roman"/>
                <w:bCs/>
                <w:sz w:val="24"/>
              </w:rPr>
              <w:t>https://roadshow.sseinfo.com</w:t>
            </w:r>
            <w:r>
              <w:rPr>
                <w:rStyle w:val="6"/>
                <w:rFonts w:hint="eastAsia" w:ascii="Times New Roman" w:hAnsi="Times New Roman"/>
                <w:bCs/>
                <w:sz w:val="24"/>
              </w:rPr>
              <w:fldChar w:fldCharType="end"/>
            </w:r>
          </w:p>
          <w:p w14:paraId="24FEECAD">
            <w:pPr>
              <w:jc w:val="left"/>
              <w:rPr>
                <w:rFonts w:hint="eastAsia"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bCs/>
                <w:sz w:val="24"/>
              </w:rPr>
              <w:t>网络文字互动</w:t>
            </w:r>
          </w:p>
        </w:tc>
      </w:tr>
      <w:tr w14:paraId="17EB5A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5" w:hRule="atLeast"/>
        </w:trPr>
        <w:tc>
          <w:tcPr>
            <w:tcW w:w="1526" w:type="dxa"/>
            <w:noWrap w:val="0"/>
            <w:vAlign w:val="center"/>
          </w:tcPr>
          <w:p w14:paraId="387328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参会人员</w:t>
            </w:r>
          </w:p>
        </w:tc>
        <w:tc>
          <w:tcPr>
            <w:tcW w:w="7191" w:type="dxa"/>
            <w:noWrap w:val="0"/>
            <w:vAlign w:val="center"/>
          </w:tcPr>
          <w:p w14:paraId="6DBA13FF">
            <w:pPr>
              <w:spacing w:line="360" w:lineRule="auto"/>
              <w:jc w:val="left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独立董事：沈延红</w:t>
            </w:r>
          </w:p>
          <w:p w14:paraId="3C12B59E">
            <w:pPr>
              <w:spacing w:line="360" w:lineRule="auto"/>
              <w:jc w:val="left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董事长：张忠强</w:t>
            </w:r>
          </w:p>
          <w:p w14:paraId="0BB221AE">
            <w:pPr>
              <w:spacing w:line="360" w:lineRule="auto"/>
              <w:jc w:val="left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财务负责人：肖海涛</w:t>
            </w:r>
          </w:p>
          <w:p w14:paraId="6345C1CF">
            <w:pPr>
              <w:spacing w:line="360" w:lineRule="auto"/>
              <w:jc w:val="left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董事、董事会秘书：吴玥明</w:t>
            </w:r>
          </w:p>
          <w:p w14:paraId="0421369A">
            <w:pPr>
              <w:spacing w:line="360" w:lineRule="auto"/>
              <w:jc w:val="left"/>
              <w:rPr>
                <w:rFonts w:hint="eastAsia"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董事、总经理：赵亚尊</w:t>
            </w:r>
          </w:p>
        </w:tc>
      </w:tr>
      <w:tr w14:paraId="1F4C21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526" w:type="dxa"/>
            <w:noWrap w:val="0"/>
            <w:vAlign w:val="center"/>
          </w:tcPr>
          <w:p w14:paraId="2688EC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投资者关系活动主要内容介绍</w:t>
            </w:r>
          </w:p>
        </w:tc>
        <w:tc>
          <w:tcPr>
            <w:tcW w:w="7191" w:type="dxa"/>
            <w:noWrap w:val="0"/>
            <w:vAlign w:val="center"/>
          </w:tcPr>
          <w:p w14:paraId="1B336F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2" w:firstLineChars="200"/>
              <w:jc w:val="both"/>
              <w:textAlignment w:val="auto"/>
              <w:rPr>
                <w:rFonts w:hint="eastAsia" w:ascii="Times New Roman" w:hAnsi="Times New Roman"/>
                <w:b/>
                <w:sz w:val="24"/>
              </w:rPr>
            </w:pPr>
            <w:r>
              <w:rPr>
                <w:rFonts w:hint="eastAsia" w:ascii="Times New Roman" w:hAnsi="Times New Roman"/>
                <w:b/>
                <w:sz w:val="24"/>
              </w:rPr>
              <w:t>投资者关系活动主要内容</w:t>
            </w:r>
          </w:p>
          <w:p w14:paraId="68DC11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2" w:firstLineChars="200"/>
              <w:jc w:val="both"/>
              <w:textAlignment w:val="auto"/>
              <w:rPr>
                <w:rFonts w:ascii="Times New Roman" w:hAnsi="Times New Roman"/>
                <w:b/>
                <w:bCs/>
              </w:rPr>
            </w:pPr>
            <w:r>
              <w:rPr>
                <w:rFonts w:hint="default" w:ascii="Times New Roman" w:hAnsi="Times New Roman"/>
                <w:b/>
                <w:bCs/>
                <w:sz w:val="24"/>
                <w:lang w:val="en-US"/>
              </w:rPr>
              <w:t>1、公司最新股东数有多少？</w:t>
            </w:r>
          </w:p>
          <w:p w14:paraId="2F50CD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default" w:ascii="Times New Roman" w:hAnsi="Times New Roman"/>
                <w:sz w:val="24"/>
                <w:lang w:val="en-US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回复：</w:t>
            </w:r>
            <w:r>
              <w:rPr>
                <w:rFonts w:hint="default" w:ascii="Times New Roman" w:hAnsi="Times New Roman"/>
                <w:sz w:val="24"/>
                <w:lang w:val="en-US"/>
              </w:rPr>
              <w:t>尊敬的投资者，您好！截至 2026年6月30日，公司股东人数为19,373人，谢谢。</w:t>
            </w:r>
          </w:p>
          <w:p w14:paraId="56C4D9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2" w:firstLineChars="200"/>
              <w:jc w:val="both"/>
              <w:textAlignment w:val="auto"/>
              <w:rPr>
                <w:rFonts w:ascii="Times New Roman" w:hAnsi="Times New Roman"/>
                <w:b/>
                <w:bCs/>
              </w:rPr>
            </w:pPr>
            <w:r>
              <w:rPr>
                <w:rFonts w:hint="default" w:ascii="Times New Roman" w:hAnsi="Times New Roman"/>
                <w:b/>
                <w:bCs/>
                <w:sz w:val="24"/>
                <w:lang w:val="en-US"/>
              </w:rPr>
              <w:t>2、公司如何提高分红比例和分红水平？</w:t>
            </w:r>
          </w:p>
          <w:p w14:paraId="5270D2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default" w:ascii="Times New Roman" w:hAnsi="Times New Roman"/>
                <w:sz w:val="24"/>
                <w:lang w:val="en-US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回复：</w:t>
            </w:r>
            <w:r>
              <w:rPr>
                <w:rFonts w:hint="default" w:ascii="Times New Roman" w:hAnsi="Times New Roman"/>
                <w:sz w:val="24"/>
                <w:lang w:val="en-US"/>
              </w:rPr>
              <w:t>尊敬的投资者，您好！公司将严格执行股东分红回报规划及利润分配政策，在保证正常经营的前提下，结合公司经营现状和发展目标，持续提升股东回报水平，真正让投资者共享公司成长，给予广大股东丰厚稳定的投资回报。感谢您的关注。</w:t>
            </w:r>
          </w:p>
          <w:p w14:paraId="615F68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2" w:firstLineChars="200"/>
              <w:jc w:val="both"/>
              <w:textAlignment w:val="auto"/>
              <w:rPr>
                <w:rFonts w:ascii="Times New Roman" w:hAnsi="Times New Roman"/>
                <w:b/>
                <w:bCs/>
              </w:rPr>
            </w:pPr>
            <w:r>
              <w:rPr>
                <w:rFonts w:hint="default" w:ascii="Times New Roman" w:hAnsi="Times New Roman"/>
                <w:b/>
                <w:bCs/>
                <w:sz w:val="24"/>
                <w:lang w:val="en-US"/>
              </w:rPr>
              <w:t>3、公司的应收账款有多少？</w:t>
            </w:r>
          </w:p>
          <w:p w14:paraId="3BFA1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default" w:ascii="Times New Roman" w:hAnsi="Times New Roman"/>
                <w:sz w:val="24"/>
                <w:lang w:val="en-US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回复：</w:t>
            </w:r>
            <w:r>
              <w:rPr>
                <w:rFonts w:hint="default" w:ascii="Times New Roman" w:hAnsi="Times New Roman"/>
                <w:sz w:val="24"/>
                <w:lang w:val="en-US"/>
              </w:rPr>
              <w:t>尊敬的投资者，您好！截至2026年6月30日，公司应收账款、合同资产账面价值分别为149,521.69万元、101,507.94万元，占报告期末资产总额的比例分别为26.31%、17.86%。公司应收账款主要为业主已计量尚未支付的工程计量款，合同资产主要为施工项目产生的已完工未结算资产、已交付未结算资产以及未到期的工程质量保证金。感谢您的关注！</w:t>
            </w:r>
          </w:p>
          <w:p w14:paraId="3AE912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2" w:firstLineChars="200"/>
              <w:jc w:val="both"/>
              <w:textAlignment w:val="auto"/>
              <w:rPr>
                <w:rFonts w:ascii="Times New Roman" w:hAnsi="Times New Roman"/>
                <w:b/>
                <w:bCs/>
              </w:rPr>
            </w:pPr>
            <w:r>
              <w:rPr>
                <w:rFonts w:hint="default" w:ascii="Times New Roman" w:hAnsi="Times New Roman"/>
                <w:b/>
                <w:bCs/>
                <w:sz w:val="24"/>
                <w:lang w:val="en-US"/>
              </w:rPr>
              <w:t>4、公司中长期战略定位和发展方向是什么？</w:t>
            </w:r>
          </w:p>
          <w:p w14:paraId="746243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default" w:ascii="Times New Roman" w:hAnsi="Times New Roman"/>
                <w:sz w:val="24"/>
                <w:lang w:val="en-US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回复：</w:t>
            </w:r>
            <w:r>
              <w:rPr>
                <w:rFonts w:hint="default" w:ascii="Times New Roman" w:hAnsi="Times New Roman"/>
                <w:sz w:val="24"/>
                <w:lang w:val="en-US"/>
              </w:rPr>
              <w:t>尊敬的投资者，您好。目前公司仍继续坚持主业发展，深耕核心业务领域。公司积极应对市场挑战，一是选取优质的区域和项目，努力做好风险防控，并助力项目顺利落地；二是积极储备海外人才，争取开拓海外市场，分散国内市场风险；三是公司在筑牢传统主业优势的基础上，努力发展新兴产业，将矿业相关产业发展作为公司重要战略性拓展领域，努力培育第二增长曲线。感谢您的关注！</w:t>
            </w:r>
          </w:p>
          <w:p w14:paraId="357FFF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2" w:firstLineChars="200"/>
              <w:jc w:val="both"/>
              <w:textAlignment w:val="auto"/>
              <w:rPr>
                <w:rFonts w:ascii="Times New Roman" w:hAnsi="Times New Roman"/>
                <w:b/>
                <w:bCs/>
              </w:rPr>
            </w:pPr>
            <w:r>
              <w:rPr>
                <w:rFonts w:hint="default" w:ascii="Times New Roman" w:hAnsi="Times New Roman"/>
                <w:b/>
                <w:bCs/>
                <w:sz w:val="24"/>
                <w:lang w:val="en-US"/>
              </w:rPr>
              <w:t>5、2026年上半年公司订单情况怎么样？</w:t>
            </w:r>
          </w:p>
          <w:p w14:paraId="3DE22A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default" w:ascii="Times New Roman" w:hAnsi="Times New Roman"/>
                <w:sz w:val="24"/>
                <w:lang w:val="en-US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回复：</w:t>
            </w:r>
            <w:r>
              <w:rPr>
                <w:rFonts w:hint="default" w:ascii="Times New Roman" w:hAnsi="Times New Roman"/>
                <w:sz w:val="24"/>
                <w:lang w:val="en-US"/>
              </w:rPr>
              <w:t>尊敬的投资者，您好！2026年上半年，公司新签建造合同订单16个，订单金额44,441.04万元，本报告期比上年同期订单金额187,361.55万元下降76.28%；新签商品销售订单55个，订单金额16,783.64万元，本报告期比上年同期订单金额2,986.19万元增长462.04%；新签勘察设计订单5个，订单金额90.92万元，本报告期比上年同期订单金额95.40万元下降4.70%；新签试验检测订单46个，订单金额460.21万元，本报告期比上年同期订单金额327.24万元增长40.63%。感谢您的关注！</w:t>
            </w:r>
          </w:p>
          <w:p w14:paraId="0D128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2" w:firstLineChars="200"/>
              <w:jc w:val="both"/>
              <w:textAlignment w:val="auto"/>
              <w:rPr>
                <w:rFonts w:ascii="Times New Roman" w:hAnsi="Times New Roman"/>
                <w:b/>
                <w:bCs/>
              </w:rPr>
            </w:pPr>
            <w:r>
              <w:rPr>
                <w:rFonts w:hint="default" w:ascii="Times New Roman" w:hAnsi="Times New Roman"/>
                <w:b/>
                <w:bCs/>
                <w:sz w:val="24"/>
                <w:lang w:val="en-US"/>
              </w:rPr>
              <w:t>6、公司2026年上半年的业绩和经营状况怎么样？</w:t>
            </w:r>
          </w:p>
          <w:p w14:paraId="20EBFF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回复：</w:t>
            </w:r>
            <w:r>
              <w:rPr>
                <w:rFonts w:hint="default" w:ascii="Times New Roman" w:hAnsi="Times New Roman"/>
                <w:sz w:val="24"/>
                <w:lang w:val="en-US"/>
              </w:rPr>
              <w:t>尊敬的投资者，您好！2026年上半年公司实现营业收入96,027.10万元，同比下降7.65%；实现归属于上市公司股东的净利润-6,309.44万元，同比下降358.96%；实现归属于上市公司股东的扣除非经常性损益的净利润-6,335.20万元，同比下降389.41%。报告期末，归属于上市公司股东的净资产为111,006.80万元，同比下降6.52%。截至报告期末，公司在手订单合同金额695,849.77万元，其中尚未施工待确认收入金额299,289.24万元，在手订单较为充足，能有力保证公司可持续发展。感谢您的关注！</w:t>
            </w:r>
          </w:p>
        </w:tc>
      </w:tr>
    </w:tbl>
    <w:p w14:paraId="00C784B0">
      <w:pPr>
        <w:rPr>
          <w:rFonts w:hint="eastAsia" w:ascii="Times New Roman" w:hAnsi="Times New Roman"/>
        </w:rPr>
      </w:pPr>
    </w:p>
    <w:p w14:paraId="5BC18A23">
      <w:pPr>
        <w:rPr>
          <w:rFonts w:ascii="Times New Roman" w:hAnsi="Times New Roma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31CBEE">
    <w:pPr>
      <w:pStyle w:val="2"/>
      <w:tabs>
        <w:tab w:val="clear" w:pos="4153"/>
      </w:tabs>
      <w:jc w:val="right"/>
    </w:pPr>
    <w:r>
      <w:rPr>
        <w:rFonts w:hint="eastAsia"/>
      </w:rPr>
      <w:t>汇通建设集团股份有限公司投资者关系活动记录表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I3NTlhNGJhZTk1YmZkMTc2MTM0MTg2MGI3NTFmMTEifQ=="/>
  </w:docVars>
  <w:rsids>
    <w:rsidRoot w:val="00000000"/>
    <w:rsid w:val="1CB2496B"/>
    <w:rsid w:val="1F7C33E7"/>
    <w:rsid w:val="4E3A28E8"/>
    <w:rsid w:val="61B42C51"/>
    <w:rsid w:val="670E1BEF"/>
    <w:rsid w:val="6BF56A9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4">
    <w:name w:val="Table Grid"/>
    <w:basedOn w:val="3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6">
    <w:name w:val="Hyperlink"/>
    <w:basedOn w:val="5"/>
    <w:unhideWhenUsed/>
    <w:qFormat/>
    <w:uiPriority w:val="99"/>
    <w:rPr>
      <w:color w:val="0563C1"/>
      <w:u w:val="single"/>
    </w:rPr>
  </w:style>
  <w:style w:type="paragraph" w:customStyle="1" w:styleId="7">
    <w:name w:val="_Style 6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1115</Words>
  <Characters>1369</Characters>
  <Lines>0</Lines>
  <Paragraphs>0</Paragraphs>
  <TotalTime>2</TotalTime>
  <ScaleCrop>false</ScaleCrop>
  <LinksUpToDate>false</LinksUpToDate>
  <CharactersWithSpaces>1403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2023-06-30T02:03:00Z</dcterms:created>
  <dc:creator>Administrator</dc:creator>
  <cp:lastModifiedBy>老黑23333</cp:lastModifiedBy>
  <dcterms:modified xsi:type="dcterms:W3CDTF">2026-09-17T08:20:04Z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ICV">
    <vt:lpwstr>2982D1E83AE94008B53FA45EF5539C81_13</vt:lpwstr>
  </property>
  <property fmtid="{D5CDD505-2E9C-101B-9397-08002B2CF9AE}" pid="4" name="KSOTemplateDocerSaveRecord">
    <vt:lpwstr>eyJoZGlkIjoiOTQ4MmU2ZjlkY2RmMGI4YTYyMzYwNjViMWFkMGZjMTUiLCJ1c2VySWQiOiI1NjcwMDk1MDcifQ==</vt:lpwstr>
  </property>
</Properties>
</file>