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9732FB">
      <w:pPr>
        <w:pStyle w:val="2"/>
        <w:rPr>
          <w:rFonts w:hint="default" w:ascii="宋体" w:hAnsi="宋体" w:eastAsia="宋体" w:cs="宋体"/>
          <w:sz w:val="20"/>
          <w:szCs w:val="20"/>
          <w:lang w:val="en-US" w:eastAsia="zh-CN"/>
        </w:rPr>
      </w:pPr>
      <w:r>
        <w:rPr>
          <w:rFonts w:hint="eastAsia" w:ascii="宋体" w:hAnsi="宋体" w:eastAsia="宋体" w:cs="宋体"/>
          <w:sz w:val="20"/>
          <w:szCs w:val="20"/>
          <w:lang w:val="en-US"/>
        </w:rPr>
        <w:t>证券代码：</w:t>
      </w:r>
      <w:r>
        <w:rPr>
          <w:rFonts w:hint="eastAsia" w:ascii="宋体" w:hAnsi="宋体" w:eastAsia="宋体" w:cs="宋体"/>
          <w:sz w:val="20"/>
          <w:szCs w:val="20"/>
          <w:lang w:val="en-US" w:eastAsia="zh-CN"/>
        </w:rPr>
        <w:t>600284</w:t>
      </w:r>
      <w:r>
        <w:rPr>
          <w:rFonts w:hint="eastAsia" w:ascii="宋体" w:hAnsi="宋体" w:eastAsia="宋体" w:cs="宋体"/>
          <w:sz w:val="20"/>
          <w:szCs w:val="20"/>
          <w:lang w:val="en-US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  <w:lang w:val="en-US"/>
        </w:rPr>
        <w:t xml:space="preserve">                        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</w:t>
      </w:r>
      <w:r>
        <w:rPr>
          <w:rFonts w:hint="eastAsia" w:ascii="宋体" w:hAnsi="宋体" w:eastAsia="宋体" w:cs="宋体"/>
          <w:sz w:val="20"/>
          <w:szCs w:val="20"/>
          <w:lang w:val="en-US"/>
        </w:rPr>
        <w:t>证券简称：</w:t>
      </w:r>
      <w:r>
        <w:rPr>
          <w:rFonts w:hint="eastAsia" w:ascii="宋体" w:hAnsi="宋体" w:eastAsia="宋体" w:cs="宋体"/>
          <w:sz w:val="20"/>
          <w:szCs w:val="20"/>
          <w:lang w:val="en-US" w:eastAsia="zh-CN"/>
        </w:rPr>
        <w:t>浦东建设</w:t>
      </w:r>
    </w:p>
    <w:p w14:paraId="0B9F10C8">
      <w:pPr>
        <w:spacing w:line="360" w:lineRule="auto"/>
        <w:jc w:val="center"/>
        <w:rPr>
          <w:rFonts w:ascii="宋体" w:hAnsi="宋体" w:eastAsia="宋体" w:cs="宋体"/>
          <w:b/>
          <w:bCs/>
          <w:sz w:val="44"/>
          <w:szCs w:val="44"/>
        </w:rPr>
      </w:pPr>
    </w:p>
    <w:p w14:paraId="4AF06F66">
      <w:pPr>
        <w:spacing w:line="360" w:lineRule="auto"/>
        <w:jc w:val="center"/>
        <w:rPr>
          <w:rFonts w:ascii="宋体" w:hAnsi="宋体" w:eastAsia="宋体" w:cs="宋体"/>
          <w:b/>
          <w:bCs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sz w:val="44"/>
          <w:szCs w:val="44"/>
        </w:rPr>
        <w:t>上海浦东建设股份有限公司</w:t>
      </w:r>
    </w:p>
    <w:p w14:paraId="4566F337">
      <w:pPr>
        <w:spacing w:line="360" w:lineRule="auto"/>
        <w:jc w:val="center"/>
        <w:rPr>
          <w:rFonts w:ascii="宋体" w:hAnsi="宋体" w:eastAsia="宋体" w:cs="宋体"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sz w:val="44"/>
          <w:szCs w:val="44"/>
        </w:rPr>
        <w:t>投资者关系活动记录表</w:t>
      </w:r>
    </w:p>
    <w:p w14:paraId="2DC9E528">
      <w:pPr>
        <w:spacing w:before="51" w:after="32"/>
        <w:ind w:right="619"/>
        <w:jc w:val="right"/>
        <w:rPr>
          <w:rFonts w:hint="default" w:ascii="宋体" w:hAnsi="宋体" w:eastAsia="宋体" w:cs="宋体"/>
          <w:sz w:val="20"/>
          <w:szCs w:val="20"/>
          <w:lang w:val="en-US" w:eastAsia="zh-CN"/>
        </w:rPr>
      </w:pPr>
      <w:r>
        <w:rPr>
          <w:rFonts w:hint="eastAsia" w:ascii="宋体" w:hAnsi="宋体" w:eastAsia="宋体" w:cs="宋体"/>
          <w:sz w:val="20"/>
          <w:szCs w:val="20"/>
        </w:rPr>
        <w:t>编号：</w:t>
      </w:r>
      <w:r>
        <w:rPr>
          <w:rFonts w:hint="eastAsia" w:ascii="宋体" w:hAnsi="宋体" w:eastAsia="宋体" w:cs="宋体"/>
          <w:sz w:val="20"/>
          <w:szCs w:val="20"/>
          <w:lang w:val="en-US"/>
        </w:rPr>
        <w:t>2026</w:t>
      </w:r>
      <w:r>
        <w:rPr>
          <w:rFonts w:hint="eastAsia" w:ascii="宋体" w:hAnsi="宋体" w:eastAsia="宋体" w:cs="宋体"/>
          <w:sz w:val="20"/>
          <w:szCs w:val="20"/>
        </w:rPr>
        <w:t>-</w:t>
      </w:r>
      <w:r>
        <w:rPr>
          <w:rFonts w:hint="eastAsia" w:ascii="宋体" w:hAnsi="宋体" w:eastAsia="宋体" w:cs="宋体"/>
          <w:sz w:val="20"/>
          <w:szCs w:val="20"/>
          <w:lang w:val="en-US" w:eastAsia="zh-CN"/>
        </w:rPr>
        <w:t>002</w:t>
      </w:r>
    </w:p>
    <w:tbl>
      <w:tblPr>
        <w:tblStyle w:val="9"/>
        <w:tblW w:w="8525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57" w:type="dxa"/>
          <w:bottom w:w="0" w:type="dxa"/>
          <w:right w:w="0" w:type="dxa"/>
        </w:tblCellMar>
      </w:tblPr>
      <w:tblGrid>
        <w:gridCol w:w="2580"/>
        <w:gridCol w:w="5945"/>
      </w:tblGrid>
      <w:tr w14:paraId="09D72C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2801" w:hRule="atLeast"/>
          <w:jc w:val="center"/>
        </w:trPr>
        <w:tc>
          <w:tcPr>
            <w:tcW w:w="2580" w:type="dxa"/>
          </w:tcPr>
          <w:p w14:paraId="619A5573">
            <w:pPr>
              <w:pStyle w:val="12"/>
              <w:spacing w:before="7"/>
              <w:rPr>
                <w:rFonts w:ascii="宋体" w:hAnsi="宋体" w:eastAsia="宋体" w:cs="宋体"/>
                <w:b/>
                <w:bCs/>
                <w:sz w:val="20"/>
                <w:szCs w:val="20"/>
              </w:rPr>
            </w:pPr>
          </w:p>
          <w:p w14:paraId="58C00120">
            <w:pPr>
              <w:pStyle w:val="12"/>
              <w:spacing w:before="1"/>
              <w:ind w:left="107"/>
              <w:rPr>
                <w:rFonts w:ascii="宋体" w:hAnsi="宋体" w:eastAsia="宋体" w:cs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0"/>
                <w:szCs w:val="20"/>
              </w:rPr>
              <w:t>投资者关系活动类别</w:t>
            </w:r>
          </w:p>
        </w:tc>
        <w:tc>
          <w:tcPr>
            <w:tcW w:w="5945" w:type="dxa"/>
          </w:tcPr>
          <w:p w14:paraId="398DE63A">
            <w:pPr>
              <w:pStyle w:val="12"/>
              <w:spacing w:before="7"/>
              <w:rPr>
                <w:rFonts w:ascii="宋体" w:hAnsi="宋体" w:eastAsia="宋体" w:cs="宋体"/>
                <w:sz w:val="20"/>
                <w:szCs w:val="20"/>
              </w:rPr>
            </w:pPr>
          </w:p>
          <w:p w14:paraId="2DF912A7">
            <w:pPr>
              <w:pStyle w:val="12"/>
              <w:tabs>
                <w:tab w:val="left" w:pos="2418"/>
              </w:tabs>
              <w:spacing w:before="1"/>
              <w:ind w:left="107"/>
              <w:rPr>
                <w:rFonts w:ascii="宋体" w:hAnsi="宋体" w:eastAsia="宋体" w:cs="宋体"/>
                <w:sz w:val="20"/>
                <w:szCs w:val="20"/>
              </w:rPr>
            </w:pPr>
            <w:sdt>
              <w:sdtPr>
                <w:rPr>
                  <w:rFonts w:hint="eastAsia" w:ascii="宋体" w:hAnsi="宋体" w:eastAsia="宋体" w:cs="宋体"/>
                  <w:sz w:val="20"/>
                  <w:szCs w:val="20"/>
                </w:rPr>
                <w:id w:val="24978044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="宋体" w:hAnsi="宋体" w:eastAsia="宋体" w:cs="宋体"/>
                  <w:sz w:val="20"/>
                  <w:szCs w:val="20"/>
                </w:rPr>
              </w:sdtEndPr>
              <w:sdtContent>
                <w:r>
                  <w:rPr>
                    <w:rFonts w:hint="eastAsia" w:ascii="MS Gothic" w:hAnsi="MS Gothic" w:eastAsia="MS Gothic" w:cs="宋体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hint="eastAsia" w:ascii="宋体" w:hAnsi="宋体" w:eastAsia="宋体" w:cs="宋体"/>
                <w:sz w:val="20"/>
                <w:szCs w:val="20"/>
              </w:rPr>
              <w:t>特</w:t>
            </w:r>
            <w:r>
              <w:rPr>
                <w:rFonts w:hint="eastAsia" w:ascii="宋体" w:hAnsi="宋体" w:eastAsia="宋体" w:cs="宋体"/>
                <w:spacing w:val="-3"/>
                <w:sz w:val="20"/>
                <w:szCs w:val="20"/>
              </w:rPr>
              <w:t>定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对</w:t>
            </w:r>
            <w:r>
              <w:rPr>
                <w:rFonts w:hint="eastAsia" w:ascii="宋体" w:hAnsi="宋体" w:eastAsia="宋体" w:cs="宋体"/>
                <w:spacing w:val="-3"/>
                <w:sz w:val="20"/>
                <w:szCs w:val="20"/>
              </w:rPr>
              <w:t>象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调研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ab/>
            </w:r>
            <w:sdt>
              <w:sdtPr>
                <w:rPr>
                  <w:rFonts w:hint="eastAsia" w:ascii="宋体" w:hAnsi="宋体" w:eastAsia="宋体" w:cs="宋体"/>
                  <w:sz w:val="20"/>
                  <w:szCs w:val="20"/>
                </w:rPr>
                <w:id w:val="-41687572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="宋体" w:hAnsi="宋体" w:eastAsia="宋体" w:cs="宋体"/>
                  <w:sz w:val="20"/>
                  <w:szCs w:val="20"/>
                </w:rPr>
              </w:sdtEndPr>
              <w:sdtContent>
                <w:r>
                  <w:rPr>
                    <w:rFonts w:hint="eastAsia" w:ascii="MS Gothic" w:hAnsi="MS Gothic" w:eastAsia="MS Gothic" w:cs="宋体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hint="eastAsia" w:ascii="宋体" w:hAnsi="宋体" w:eastAsia="宋体" w:cs="宋体"/>
                <w:sz w:val="20"/>
                <w:szCs w:val="20"/>
              </w:rPr>
              <w:t>分</w:t>
            </w:r>
            <w:r>
              <w:rPr>
                <w:rFonts w:hint="eastAsia" w:ascii="宋体" w:hAnsi="宋体" w:eastAsia="宋体" w:cs="宋体"/>
                <w:spacing w:val="-3"/>
                <w:sz w:val="20"/>
                <w:szCs w:val="20"/>
              </w:rPr>
              <w:t>析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师</w:t>
            </w:r>
            <w:r>
              <w:rPr>
                <w:rFonts w:hint="eastAsia" w:ascii="宋体" w:hAnsi="宋体" w:eastAsia="宋体" w:cs="宋体"/>
                <w:spacing w:val="-3"/>
                <w:sz w:val="20"/>
                <w:szCs w:val="20"/>
              </w:rPr>
              <w:t>会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议</w:t>
            </w:r>
          </w:p>
          <w:p w14:paraId="2E894F37">
            <w:pPr>
              <w:pStyle w:val="12"/>
              <w:spacing w:before="11"/>
              <w:rPr>
                <w:rFonts w:ascii="宋体" w:hAnsi="宋体" w:eastAsia="宋体" w:cs="宋体"/>
                <w:sz w:val="20"/>
                <w:szCs w:val="20"/>
              </w:rPr>
            </w:pPr>
          </w:p>
          <w:p w14:paraId="42A7E1D2">
            <w:pPr>
              <w:pStyle w:val="12"/>
              <w:tabs>
                <w:tab w:val="left" w:pos="2418"/>
              </w:tabs>
              <w:ind w:left="107"/>
              <w:rPr>
                <w:rFonts w:ascii="宋体" w:hAnsi="宋体" w:eastAsia="宋体" w:cs="宋体"/>
                <w:sz w:val="20"/>
                <w:szCs w:val="20"/>
              </w:rPr>
            </w:pPr>
            <w:sdt>
              <w:sdtPr>
                <w:rPr>
                  <w:rFonts w:hint="eastAsia" w:ascii="宋体" w:hAnsi="宋体" w:eastAsia="宋体" w:cs="宋体"/>
                  <w:sz w:val="20"/>
                  <w:szCs w:val="20"/>
                </w:rPr>
                <w:id w:val="120690601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="宋体" w:hAnsi="宋体" w:eastAsia="宋体" w:cs="宋体"/>
                  <w:sz w:val="20"/>
                  <w:szCs w:val="20"/>
                </w:rPr>
              </w:sdtEndPr>
              <w:sdtContent>
                <w:r>
                  <w:rPr>
                    <w:rFonts w:hint="eastAsia" w:ascii="MS Gothic" w:hAnsi="MS Gothic" w:eastAsia="MS Gothic" w:cs="宋体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hint="eastAsia" w:ascii="宋体" w:hAnsi="宋体" w:eastAsia="宋体" w:cs="宋体"/>
                <w:sz w:val="20"/>
                <w:szCs w:val="20"/>
              </w:rPr>
              <w:t>媒</w:t>
            </w:r>
            <w:r>
              <w:rPr>
                <w:rFonts w:hint="eastAsia" w:ascii="宋体" w:hAnsi="宋体" w:eastAsia="宋体" w:cs="宋体"/>
                <w:spacing w:val="-3"/>
                <w:sz w:val="20"/>
                <w:szCs w:val="20"/>
              </w:rPr>
              <w:t>体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采访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ab/>
            </w:r>
            <w:sdt>
              <w:sdtPr>
                <w:rPr>
                  <w:rFonts w:hint="eastAsia" w:ascii="宋体" w:hAnsi="宋体" w:eastAsia="宋体" w:cs="宋体"/>
                  <w:sz w:val="20"/>
                  <w:szCs w:val="20"/>
                </w:rPr>
                <w:id w:val="-66658901"/>
                <w14:checkbox>
                  <w14:checked w14:val="1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="宋体" w:hAnsi="宋体" w:eastAsia="宋体" w:cs="宋体"/>
                  <w:sz w:val="20"/>
                  <w:szCs w:val="20"/>
                </w:rPr>
              </w:sdtEndPr>
              <w:sdtContent>
                <w:r>
                  <w:rPr>
                    <w:rFonts w:hint="eastAsia" w:ascii="Wingdings 2" w:hAnsi="Wingdings 2" w:eastAsia="MS Gothic" w:cs="宋体"/>
                    <w:sz w:val="20"/>
                    <w:szCs w:val="20"/>
                    <w:lang w:val="zh-CN" w:eastAsia="zh-CN" w:bidi="zh-CN"/>
                  </w:rPr>
                  <w:t>R</w:t>
                </w:r>
              </w:sdtContent>
            </w:sdt>
            <w:r>
              <w:rPr>
                <w:rFonts w:hint="eastAsia" w:ascii="宋体" w:hAnsi="宋体" w:eastAsia="宋体" w:cs="宋体"/>
                <w:sz w:val="20"/>
                <w:szCs w:val="20"/>
              </w:rPr>
              <w:t>业</w:t>
            </w:r>
            <w:r>
              <w:rPr>
                <w:rFonts w:hint="eastAsia" w:ascii="宋体" w:hAnsi="宋体" w:eastAsia="宋体" w:cs="宋体"/>
                <w:spacing w:val="-3"/>
                <w:sz w:val="20"/>
                <w:szCs w:val="20"/>
              </w:rPr>
              <w:t>绩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说</w:t>
            </w:r>
            <w:r>
              <w:rPr>
                <w:rFonts w:hint="eastAsia" w:ascii="宋体" w:hAnsi="宋体" w:eastAsia="宋体" w:cs="宋体"/>
                <w:spacing w:val="-3"/>
                <w:sz w:val="20"/>
                <w:szCs w:val="20"/>
              </w:rPr>
              <w:t>明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会</w:t>
            </w:r>
          </w:p>
          <w:p w14:paraId="38E10AF3">
            <w:pPr>
              <w:pStyle w:val="12"/>
              <w:spacing w:before="8"/>
              <w:rPr>
                <w:rFonts w:ascii="宋体" w:hAnsi="宋体" w:eastAsia="宋体" w:cs="宋体"/>
                <w:sz w:val="20"/>
                <w:szCs w:val="20"/>
              </w:rPr>
            </w:pPr>
          </w:p>
          <w:p w14:paraId="5F36D672">
            <w:pPr>
              <w:pStyle w:val="12"/>
              <w:tabs>
                <w:tab w:val="left" w:pos="2418"/>
              </w:tabs>
              <w:ind w:left="107"/>
              <w:rPr>
                <w:rFonts w:ascii="宋体" w:hAnsi="宋体" w:eastAsia="宋体" w:cs="宋体"/>
                <w:sz w:val="20"/>
                <w:szCs w:val="20"/>
              </w:rPr>
            </w:pPr>
            <w:sdt>
              <w:sdtPr>
                <w:rPr>
                  <w:rFonts w:hint="eastAsia" w:ascii="宋体" w:hAnsi="宋体" w:eastAsia="宋体" w:cs="宋体"/>
                  <w:sz w:val="20"/>
                  <w:szCs w:val="20"/>
                </w:rPr>
                <w:id w:val="-184816743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="宋体" w:hAnsi="宋体" w:eastAsia="宋体" w:cs="宋体"/>
                  <w:sz w:val="20"/>
                  <w:szCs w:val="20"/>
                </w:rPr>
              </w:sdtEndPr>
              <w:sdtContent>
                <w:r>
                  <w:rPr>
                    <w:rFonts w:hint="eastAsia" w:ascii="MS Gothic" w:hAnsi="MS Gothic" w:eastAsia="MS Gothic" w:cs="宋体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hint="eastAsia" w:ascii="宋体" w:hAnsi="宋体" w:eastAsia="宋体" w:cs="宋体"/>
                <w:sz w:val="20"/>
                <w:szCs w:val="20"/>
              </w:rPr>
              <w:t>新</w:t>
            </w:r>
            <w:r>
              <w:rPr>
                <w:rFonts w:hint="eastAsia" w:ascii="宋体" w:hAnsi="宋体" w:eastAsia="宋体" w:cs="宋体"/>
                <w:spacing w:val="-3"/>
                <w:sz w:val="20"/>
                <w:szCs w:val="20"/>
              </w:rPr>
              <w:t>闻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发</w:t>
            </w:r>
            <w:r>
              <w:rPr>
                <w:rFonts w:hint="eastAsia" w:ascii="宋体" w:hAnsi="宋体" w:eastAsia="宋体" w:cs="宋体"/>
                <w:spacing w:val="-3"/>
                <w:sz w:val="20"/>
                <w:szCs w:val="20"/>
              </w:rPr>
              <w:t>布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会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ab/>
            </w:r>
            <w:sdt>
              <w:sdtPr>
                <w:rPr>
                  <w:rFonts w:hint="eastAsia" w:ascii="宋体" w:hAnsi="宋体" w:eastAsia="宋体" w:cs="宋体"/>
                  <w:sz w:val="20"/>
                  <w:szCs w:val="20"/>
                </w:rPr>
                <w:id w:val="41204969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="宋体" w:hAnsi="宋体" w:eastAsia="宋体" w:cs="宋体"/>
                  <w:sz w:val="20"/>
                  <w:szCs w:val="20"/>
                </w:rPr>
              </w:sdtEndPr>
              <w:sdtContent>
                <w:r>
                  <w:rPr>
                    <w:rFonts w:hint="eastAsia" w:ascii="MS Gothic" w:hAnsi="MS Gothic" w:eastAsia="MS Gothic" w:cs="宋体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hint="eastAsia" w:ascii="宋体" w:hAnsi="宋体" w:eastAsia="宋体" w:cs="宋体"/>
                <w:sz w:val="20"/>
                <w:szCs w:val="20"/>
              </w:rPr>
              <w:t>路</w:t>
            </w:r>
            <w:r>
              <w:rPr>
                <w:rFonts w:hint="eastAsia" w:ascii="宋体" w:hAnsi="宋体" w:eastAsia="宋体" w:cs="宋体"/>
                <w:spacing w:val="-3"/>
                <w:sz w:val="20"/>
                <w:szCs w:val="20"/>
              </w:rPr>
              <w:t>演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活动</w:t>
            </w:r>
          </w:p>
          <w:p w14:paraId="5F96973E">
            <w:pPr>
              <w:pStyle w:val="12"/>
              <w:spacing w:before="8"/>
              <w:rPr>
                <w:rFonts w:ascii="宋体" w:hAnsi="宋体" w:eastAsia="宋体" w:cs="宋体"/>
                <w:sz w:val="20"/>
                <w:szCs w:val="20"/>
              </w:rPr>
            </w:pPr>
          </w:p>
          <w:p w14:paraId="738E9262">
            <w:pPr>
              <w:pStyle w:val="12"/>
              <w:ind w:left="107"/>
              <w:rPr>
                <w:rFonts w:ascii="宋体" w:hAnsi="宋体" w:eastAsia="宋体" w:cs="宋体"/>
                <w:sz w:val="20"/>
                <w:szCs w:val="20"/>
              </w:rPr>
            </w:pPr>
            <w:sdt>
              <w:sdtPr>
                <w:rPr>
                  <w:rFonts w:hint="eastAsia" w:ascii="宋体" w:hAnsi="宋体" w:eastAsia="宋体" w:cs="宋体"/>
                  <w:sz w:val="20"/>
                  <w:szCs w:val="20"/>
                </w:rPr>
                <w:id w:val="-133336691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="宋体" w:hAnsi="宋体" w:eastAsia="宋体" w:cs="宋体"/>
                  <w:sz w:val="20"/>
                  <w:szCs w:val="20"/>
                </w:rPr>
              </w:sdtEndPr>
              <w:sdtContent>
                <w:r>
                  <w:rPr>
                    <w:rFonts w:hint="eastAsia" w:ascii="MS Gothic" w:hAnsi="MS Gothic" w:eastAsia="MS Gothic" w:cs="宋体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hint="eastAsia" w:ascii="宋体" w:hAnsi="宋体" w:eastAsia="宋体" w:cs="宋体"/>
                <w:sz w:val="20"/>
                <w:szCs w:val="20"/>
              </w:rPr>
              <w:t>现场参观</w:t>
            </w:r>
          </w:p>
          <w:p w14:paraId="7068CBD1">
            <w:pPr>
              <w:pStyle w:val="12"/>
              <w:spacing w:before="11"/>
              <w:rPr>
                <w:rFonts w:ascii="宋体" w:hAnsi="宋体" w:eastAsia="宋体" w:cs="宋体"/>
                <w:sz w:val="20"/>
                <w:szCs w:val="20"/>
              </w:rPr>
            </w:pPr>
          </w:p>
          <w:p w14:paraId="48050C4D">
            <w:pPr>
              <w:pStyle w:val="12"/>
              <w:ind w:left="107"/>
              <w:rPr>
                <w:rFonts w:ascii="宋体" w:hAnsi="宋体" w:eastAsia="宋体" w:cs="宋体"/>
                <w:sz w:val="20"/>
                <w:szCs w:val="20"/>
              </w:rPr>
            </w:pPr>
            <w:sdt>
              <w:sdtPr>
                <w:rPr>
                  <w:rFonts w:hint="eastAsia" w:ascii="宋体" w:hAnsi="宋体" w:eastAsia="宋体" w:cs="宋体"/>
                  <w:sz w:val="20"/>
                  <w:szCs w:val="20"/>
                </w:rPr>
                <w:id w:val="40088521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="宋体" w:hAnsi="宋体" w:eastAsia="宋体" w:cs="宋体"/>
                  <w:sz w:val="20"/>
                  <w:szCs w:val="20"/>
                </w:rPr>
              </w:sdtEndPr>
              <w:sdtContent>
                <w:r>
                  <w:rPr>
                    <w:rFonts w:hint="eastAsia" w:ascii="MS Gothic" w:hAnsi="MS Gothic" w:eastAsia="MS Gothic" w:cs="宋体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hint="eastAsia" w:ascii="宋体" w:hAnsi="宋体" w:eastAsia="宋体" w:cs="宋体"/>
                <w:sz w:val="20"/>
                <w:szCs w:val="20"/>
              </w:rPr>
              <w:t>其他（</w:t>
            </w:r>
            <w:r>
              <w:rPr>
                <w:rFonts w:hint="eastAsia" w:ascii="宋体" w:hAnsi="宋体" w:eastAsia="宋体" w:cs="宋体"/>
                <w:sz w:val="20"/>
                <w:szCs w:val="20"/>
                <w:u w:val="single"/>
              </w:rPr>
              <w:t>请文字说明其他活动内容）</w:t>
            </w:r>
          </w:p>
        </w:tc>
      </w:tr>
      <w:tr w14:paraId="47786E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1120" w:hRule="atLeast"/>
          <w:jc w:val="center"/>
        </w:trPr>
        <w:tc>
          <w:tcPr>
            <w:tcW w:w="2580" w:type="dxa"/>
            <w:vAlign w:val="center"/>
          </w:tcPr>
          <w:p w14:paraId="7B7E73B3">
            <w:pPr>
              <w:pStyle w:val="12"/>
              <w:spacing w:line="560" w:lineRule="exact"/>
              <w:ind w:left="107" w:right="96"/>
              <w:rPr>
                <w:rFonts w:cs="宋体" w:asciiTheme="minorEastAsia" w:hAnsiTheme="minorEastAsia" w:eastAsiaTheme="minorEastAsia"/>
                <w:b/>
                <w:bCs/>
                <w:sz w:val="20"/>
                <w:szCs w:val="20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sz w:val="20"/>
                <w:szCs w:val="20"/>
              </w:rPr>
              <w:t>参与单位名称及人员姓名</w:t>
            </w:r>
          </w:p>
        </w:tc>
        <w:tc>
          <w:tcPr>
            <w:tcW w:w="5945" w:type="dxa"/>
            <w:vAlign w:val="center"/>
          </w:tcPr>
          <w:p w14:paraId="7FEFC1B0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00" w:beforeAutospacing="1" w:line="360" w:lineRule="auto"/>
              <w:textAlignment w:val="auto"/>
              <w:rPr>
                <w:rFonts w:hint="default" w:cs="宋体" w:asciiTheme="minorEastAsia" w:hAnsiTheme="minorEastAsia" w:eastAsia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sz w:val="20"/>
                <w:szCs w:val="20"/>
                <w:lang w:val="en-US" w:eastAsia="zh-CN"/>
              </w:rPr>
              <w:t>线上参与浦东建设（600284）2026年半年度业绩说明会的全体投资者</w:t>
            </w:r>
          </w:p>
        </w:tc>
      </w:tr>
      <w:tr w14:paraId="60347D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558" w:hRule="atLeast"/>
          <w:jc w:val="center"/>
        </w:trPr>
        <w:tc>
          <w:tcPr>
            <w:tcW w:w="2580" w:type="dxa"/>
            <w:vAlign w:val="center"/>
          </w:tcPr>
          <w:p w14:paraId="6C6CD020">
            <w:pPr>
              <w:pStyle w:val="12"/>
              <w:ind w:left="107"/>
              <w:rPr>
                <w:rFonts w:cs="宋体" w:asciiTheme="minorEastAsia" w:hAnsiTheme="minorEastAsia" w:eastAsiaTheme="minorEastAsia"/>
                <w:b/>
                <w:bCs/>
                <w:sz w:val="20"/>
                <w:szCs w:val="20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sz w:val="20"/>
                <w:szCs w:val="20"/>
              </w:rPr>
              <w:t>时间</w:t>
            </w:r>
          </w:p>
        </w:tc>
        <w:tc>
          <w:tcPr>
            <w:tcW w:w="5945" w:type="dxa"/>
            <w:vAlign w:val="center"/>
          </w:tcPr>
          <w:p w14:paraId="11C5D3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00" w:beforeAutospacing="1" w:line="360" w:lineRule="auto"/>
              <w:textAlignment w:val="auto"/>
              <w:rPr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  <w:t>2026年09月16日 15:00-16:00</w:t>
            </w:r>
          </w:p>
        </w:tc>
      </w:tr>
      <w:tr w14:paraId="14A648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2580" w:type="dxa"/>
            <w:vAlign w:val="center"/>
          </w:tcPr>
          <w:p w14:paraId="646B73DB">
            <w:pPr>
              <w:pStyle w:val="12"/>
              <w:ind w:left="107"/>
              <w:rPr>
                <w:rFonts w:cs="宋体" w:asciiTheme="minorEastAsia" w:hAnsiTheme="minorEastAsia" w:eastAsiaTheme="minorEastAsia"/>
                <w:b/>
                <w:bCs/>
                <w:sz w:val="20"/>
                <w:szCs w:val="20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sz w:val="20"/>
                <w:szCs w:val="20"/>
              </w:rPr>
              <w:t>地点</w:t>
            </w:r>
          </w:p>
        </w:tc>
        <w:tc>
          <w:tcPr>
            <w:tcW w:w="5945" w:type="dxa"/>
            <w:vAlign w:val="center"/>
          </w:tcPr>
          <w:p w14:paraId="036CE945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00" w:beforeAutospacing="1" w:line="360" w:lineRule="auto"/>
              <w:textAlignment w:val="auto"/>
              <w:rPr>
                <w:rFonts w:cs="宋体" w:asciiTheme="minorEastAsia" w:hAnsiTheme="minorEastAsia" w:eastAsiaTheme="minorEastAsia"/>
                <w:sz w:val="20"/>
                <w:szCs w:val="20"/>
              </w:rPr>
            </w:pPr>
            <w:r>
              <w:rPr>
                <w:rFonts w:cs="宋体" w:asciiTheme="minorEastAsia" w:hAnsiTheme="minorEastAsia" w:eastAsiaTheme="minorEastAsia"/>
                <w:sz w:val="20"/>
                <w:szCs w:val="20"/>
              </w:rPr>
              <w:t>价值在线（https://www.ir-online.cn/）网络互动</w:t>
            </w:r>
          </w:p>
        </w:tc>
      </w:tr>
      <w:tr w14:paraId="6FEF92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558" w:hRule="atLeast"/>
          <w:jc w:val="center"/>
        </w:trPr>
        <w:tc>
          <w:tcPr>
            <w:tcW w:w="2580" w:type="dxa"/>
            <w:vAlign w:val="center"/>
          </w:tcPr>
          <w:p w14:paraId="7895DF4D">
            <w:pPr>
              <w:pStyle w:val="12"/>
              <w:spacing w:before="1"/>
              <w:ind w:left="107"/>
              <w:rPr>
                <w:rFonts w:ascii="宋体" w:hAnsi="宋体" w:eastAsia="宋体" w:cs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0"/>
                <w:szCs w:val="20"/>
              </w:rPr>
              <w:t>上市公司接待人员姓名</w:t>
            </w:r>
          </w:p>
        </w:tc>
        <w:tc>
          <w:tcPr>
            <w:tcW w:w="5945" w:type="dxa"/>
            <w:vAlign w:val="center"/>
          </w:tcPr>
          <w:p w14:paraId="00C8D87A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00" w:beforeAutospacing="1" w:line="360" w:lineRule="auto"/>
              <w:textAlignment w:va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董事长 赵炜诚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先生</w:t>
            </w:r>
            <w:r>
              <w:rPr>
                <w:rFonts w:ascii="宋体" w:hAnsi="宋体" w:eastAsia="宋体" w:cs="宋体"/>
                <w:sz w:val="20"/>
                <w:szCs w:val="20"/>
              </w:rPr>
              <w:br w:type="textWrapping"/>
            </w:r>
            <w:r>
              <w:rPr>
                <w:rFonts w:ascii="宋体" w:hAnsi="宋体" w:eastAsia="宋体" w:cs="宋体"/>
                <w:sz w:val="20"/>
                <w:szCs w:val="20"/>
              </w:rPr>
              <w:t>董事、总经理 黄微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先生</w:t>
            </w:r>
            <w:r>
              <w:rPr>
                <w:rFonts w:ascii="宋体" w:hAnsi="宋体" w:eastAsia="宋体" w:cs="宋体"/>
                <w:sz w:val="20"/>
                <w:szCs w:val="20"/>
              </w:rPr>
              <w:br w:type="textWrapping"/>
            </w:r>
            <w:r>
              <w:rPr>
                <w:rFonts w:ascii="宋体" w:hAnsi="宋体" w:eastAsia="宋体" w:cs="宋体"/>
                <w:sz w:val="20"/>
                <w:szCs w:val="20"/>
              </w:rPr>
              <w:t>独立董事 周波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女士</w:t>
            </w:r>
            <w:r>
              <w:rPr>
                <w:rFonts w:ascii="宋体" w:hAnsi="宋体" w:eastAsia="宋体" w:cs="宋体"/>
                <w:sz w:val="20"/>
                <w:szCs w:val="20"/>
              </w:rPr>
              <w:br w:type="textWrapping"/>
            </w:r>
            <w:r>
              <w:rPr>
                <w:rFonts w:ascii="宋体" w:hAnsi="宋体" w:eastAsia="宋体" w:cs="宋体"/>
                <w:sz w:val="20"/>
                <w:szCs w:val="20"/>
              </w:rPr>
              <w:t>财务负责人 李蕾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女士</w:t>
            </w:r>
            <w:r>
              <w:rPr>
                <w:rFonts w:ascii="宋体" w:hAnsi="宋体" w:eastAsia="宋体" w:cs="宋体"/>
                <w:sz w:val="20"/>
                <w:szCs w:val="20"/>
              </w:rPr>
              <w:br w:type="textWrapping"/>
            </w:r>
            <w:r>
              <w:rPr>
                <w:rFonts w:ascii="宋体" w:hAnsi="宋体" w:eastAsia="宋体" w:cs="宋体"/>
                <w:sz w:val="20"/>
                <w:szCs w:val="20"/>
              </w:rPr>
              <w:t>董事会秘书 陈栋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先生</w:t>
            </w:r>
          </w:p>
        </w:tc>
      </w:tr>
      <w:tr w14:paraId="4298F4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2800" w:hRule="atLeast"/>
          <w:jc w:val="center"/>
        </w:trPr>
        <w:tc>
          <w:tcPr>
            <w:tcW w:w="2580" w:type="dxa"/>
          </w:tcPr>
          <w:p w14:paraId="06B689B1">
            <w:pPr>
              <w:pStyle w:val="12"/>
              <w:rPr>
                <w:rFonts w:ascii="宋体" w:hAnsi="宋体" w:eastAsia="宋体" w:cs="宋体"/>
                <w:b/>
                <w:bCs/>
                <w:sz w:val="20"/>
                <w:szCs w:val="20"/>
              </w:rPr>
            </w:pPr>
          </w:p>
          <w:p w14:paraId="655D1A43">
            <w:pPr>
              <w:pStyle w:val="12"/>
              <w:rPr>
                <w:rFonts w:ascii="宋体" w:hAnsi="宋体" w:eastAsia="宋体" w:cs="宋体"/>
                <w:b/>
                <w:bCs/>
                <w:sz w:val="20"/>
                <w:szCs w:val="20"/>
              </w:rPr>
            </w:pPr>
          </w:p>
          <w:p w14:paraId="354A4099">
            <w:pPr>
              <w:pStyle w:val="12"/>
              <w:spacing w:before="5"/>
              <w:rPr>
                <w:rFonts w:ascii="宋体" w:hAnsi="宋体" w:eastAsia="宋体" w:cs="宋体"/>
                <w:b/>
                <w:bCs/>
                <w:sz w:val="20"/>
                <w:szCs w:val="20"/>
              </w:rPr>
            </w:pPr>
          </w:p>
          <w:p w14:paraId="5C7BE06D">
            <w:pPr>
              <w:pStyle w:val="12"/>
              <w:spacing w:before="1" w:line="499" w:lineRule="auto"/>
              <w:ind w:left="107" w:right="96"/>
              <w:rPr>
                <w:rFonts w:ascii="宋体" w:hAnsi="宋体" w:eastAsia="宋体" w:cs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0"/>
                <w:szCs w:val="20"/>
              </w:rPr>
              <w:t>投资者关系活动主要内容介绍</w:t>
            </w:r>
          </w:p>
        </w:tc>
        <w:tc>
          <w:tcPr>
            <w:tcW w:w="5945" w:type="dxa"/>
          </w:tcPr>
          <w:p w14:paraId="56C4DF67">
            <w:pPr>
              <w:pStyle w:val="12"/>
              <w:numPr>
                <w:ilvl w:val="0"/>
                <w:numId w:val="0"/>
              </w:numPr>
              <w:spacing w:before="100" w:beforeAutospacing="1" w:line="360" w:lineRule="auto"/>
              <w:rPr>
                <w:rFonts w:ascii="宋体" w:hAnsi="宋体" w:eastAsia="宋体" w:cs="宋体"/>
                <w:b w:val="0"/>
                <w:bCs/>
                <w:sz w:val="20"/>
              </w:rPr>
            </w:pPr>
            <w:r>
              <w:rPr>
                <w:rFonts w:hint="eastAsia" w:ascii="宋体" w:hAnsi="宋体" w:eastAsia="宋体" w:cs="宋体"/>
                <w:b/>
                <w:sz w:val="20"/>
                <w:lang w:val="en-US" w:eastAsia="zh-CN"/>
              </w:rPr>
              <w:t>1.</w:t>
            </w:r>
            <w:r>
              <w:rPr>
                <w:rFonts w:ascii="宋体" w:hAnsi="宋体" w:eastAsia="宋体" w:cs="宋体"/>
                <w:b/>
                <w:sz w:val="20"/>
              </w:rPr>
              <w:t>公司上半年业绩如何？</w:t>
            </w:r>
            <w:r>
              <w:rPr>
                <w:rFonts w:ascii="宋体" w:hAnsi="宋体" w:eastAsia="宋体" w:cs="宋体"/>
                <w:b/>
                <w:sz w:val="20"/>
              </w:rPr>
              <w:br w:type="textWrapping"/>
            </w:r>
            <w:r>
              <w:rPr>
                <w:rFonts w:ascii="宋体" w:hAnsi="宋体" w:eastAsia="宋体" w:cs="宋体"/>
                <w:b w:val="0"/>
                <w:bCs/>
                <w:sz w:val="20"/>
              </w:rPr>
              <w:t xml:space="preserve">    尊敬的投资者，您好！受建筑市场整体增速放缓影响，公司市场拓展承压，新签订单有所下滑。</w:t>
            </w:r>
            <w:r>
              <w:rPr>
                <w:rFonts w:hint="eastAsia" w:ascii="宋体" w:hAnsi="宋体" w:eastAsia="宋体" w:cs="宋体"/>
                <w:b w:val="0"/>
                <w:bCs/>
                <w:sz w:val="20"/>
                <w:lang w:val="en-US" w:eastAsia="zh-CN"/>
              </w:rPr>
              <w:t>2026年</w:t>
            </w:r>
            <w:bookmarkStart w:id="0" w:name="_GoBack"/>
            <w:bookmarkEnd w:id="0"/>
            <w:r>
              <w:rPr>
                <w:rFonts w:ascii="宋体" w:hAnsi="宋体" w:eastAsia="宋体" w:cs="宋体"/>
                <w:b w:val="0"/>
                <w:bCs/>
                <w:sz w:val="20"/>
              </w:rPr>
              <w:t>上半年公司新签工程施工项目金额45.28亿元，新签勘察设计咨询项目3,754.57万元，完成营业收入50.43亿元，实现利润总额1.57亿元，归母净利润1.32亿元。感谢您对公司的关注！</w:t>
            </w:r>
          </w:p>
          <w:p w14:paraId="4A15F862">
            <w:pPr>
              <w:pStyle w:val="1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Autospacing="0" w:line="360" w:lineRule="auto"/>
              <w:textAlignment w:val="auto"/>
              <w:rPr>
                <w:rFonts w:ascii="宋体" w:hAnsi="宋体" w:eastAsia="宋体" w:cs="宋体"/>
                <w:b w:val="0"/>
                <w:sz w:val="20"/>
              </w:rPr>
            </w:pPr>
            <w:r>
              <w:rPr>
                <w:rFonts w:hint="eastAsia" w:ascii="宋体" w:hAnsi="宋体" w:eastAsia="宋体" w:cs="宋体"/>
                <w:b/>
                <w:sz w:val="20"/>
                <w:lang w:val="en-US" w:eastAsia="zh-CN"/>
              </w:rPr>
              <w:t>2.公司的股票价格下跌有什么利空消息吗？公司前景怎么样？</w:t>
            </w:r>
            <w:r>
              <w:rPr>
                <w:rFonts w:ascii="宋体" w:hAnsi="宋体" w:eastAsia="宋体" w:cs="宋体"/>
                <w:b/>
                <w:sz w:val="20"/>
              </w:rPr>
              <w:br w:type="textWrapping"/>
            </w:r>
            <w:r>
              <w:rPr>
                <w:rFonts w:ascii="宋体" w:hAnsi="宋体" w:eastAsia="宋体" w:cs="宋体"/>
                <w:b w:val="0"/>
                <w:sz w:val="20"/>
              </w:rPr>
              <w:t xml:space="preserve">    尊敬的投资者，您好！目前公司生产经营正常。股票市场受国内外宏观经济、所在行业、资本市场等多重复杂因素影响，请投资者理性对待市场波动并注意防范投资风险。公司将继续推进设计、施工等主业提质，不断提高公司核心竞争力，加强与资本市场投资者的沟通，积极有效地向投资者传递公司经营发展的最新成果，努力让公司内在价值更好地反映在资本市场的市值表现上。感谢您对公司的关注！</w:t>
            </w:r>
          </w:p>
          <w:p w14:paraId="256A7049">
            <w:pPr>
              <w:pStyle w:val="1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Autospacing="0" w:line="360" w:lineRule="auto"/>
              <w:textAlignment w:val="auto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sz w:val="20"/>
                <w:lang w:val="en-US" w:eastAsia="zh-CN"/>
              </w:rPr>
              <w:t>3</w:t>
            </w:r>
            <w:r>
              <w:rPr>
                <w:rFonts w:ascii="宋体" w:hAnsi="宋体" w:eastAsia="宋体" w:cs="宋体"/>
                <w:b/>
                <w:sz w:val="20"/>
              </w:rPr>
              <w:t>.公司是否有市值管理的措施？如回购股票或装入优质资产？</w:t>
            </w:r>
            <w:r>
              <w:rPr>
                <w:rFonts w:ascii="宋体" w:hAnsi="宋体" w:eastAsia="宋体" w:cs="宋体"/>
                <w:b/>
                <w:sz w:val="20"/>
              </w:rPr>
              <w:br w:type="textWrapping"/>
            </w:r>
            <w:r>
              <w:rPr>
                <w:rFonts w:ascii="宋体" w:hAnsi="宋体" w:eastAsia="宋体" w:cs="宋体"/>
                <w:b w:val="0"/>
                <w:sz w:val="20"/>
              </w:rPr>
              <w:t xml:space="preserve">    尊敬的投资者，您好！公司高度重视资本市场，将持续加强市值管理，以高质量发展为根本，持续聚焦主业，优化治理结构，在强化经营精细化水平的同时，坚持价值创造与价值实现的统一。我们将不断完善投资者回报机制，切实将发展成果转化为对股东的回报。同时，公司将以投资者需求为导向，继续加强投资者关系管理，通过股东会、业绩说明会、上证e互动、接待来访、座谈交流等方式与投资者进行互动交流，构建高效的投资者沟通桥梁，积极有效地向投资者传递公司经营发展的最新成果，以持续稳健的经营业绩回馈广大投资者的信任与支持，共同实现公司长期价值的稳步增长。目前公司没有回购及重大资产重组事项。感谢您对公司的关注！</w:t>
            </w:r>
            <w:r>
              <w:rPr>
                <w:rFonts w:ascii="宋体" w:hAnsi="宋体" w:eastAsia="宋体" w:cs="宋体"/>
                <w:b w:val="0"/>
                <w:sz w:val="20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sz w:val="20"/>
                <w:lang w:val="en-US" w:eastAsia="zh-CN"/>
              </w:rPr>
              <w:t>4</w:t>
            </w:r>
            <w:r>
              <w:rPr>
                <w:rFonts w:ascii="宋体" w:hAnsi="宋体" w:eastAsia="宋体" w:cs="宋体"/>
                <w:b/>
                <w:sz w:val="20"/>
              </w:rPr>
              <w:t>.今后几年参与浦东本区城市更新改造项目吗？</w:t>
            </w:r>
            <w:r>
              <w:rPr>
                <w:rFonts w:ascii="宋体" w:hAnsi="宋体" w:eastAsia="宋体" w:cs="宋体"/>
                <w:b/>
                <w:sz w:val="20"/>
              </w:rPr>
              <w:br w:type="textWrapping"/>
            </w:r>
            <w:r>
              <w:rPr>
                <w:rFonts w:ascii="宋体" w:hAnsi="宋体" w:eastAsia="宋体" w:cs="宋体"/>
                <w:b w:val="0"/>
                <w:sz w:val="20"/>
              </w:rPr>
              <w:t xml:space="preserve">    尊敬的投资者，您好！公司通过提供施工服务及设计咨询等方式参与城市更新改造，具体的项目情况请以公司发布的中标公告为准。感谢您对公司的关注！</w:t>
            </w:r>
            <w:r>
              <w:rPr>
                <w:rFonts w:ascii="宋体" w:hAnsi="宋体" w:eastAsia="宋体" w:cs="宋体"/>
                <w:b w:val="0"/>
                <w:sz w:val="20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sz w:val="20"/>
                <w:lang w:val="en-US" w:eastAsia="zh-CN"/>
              </w:rPr>
              <w:t>5</w:t>
            </w:r>
            <w:r>
              <w:rPr>
                <w:rFonts w:ascii="宋体" w:hAnsi="宋体" w:eastAsia="宋体" w:cs="宋体"/>
                <w:b/>
                <w:sz w:val="20"/>
              </w:rPr>
              <w:t>.上海本地推进存量产业用地盘活、园区载体提质升级，公司布局园区综合开发运营业务，请介绍下园区板块中长期发展规划？</w:t>
            </w:r>
            <w:r>
              <w:rPr>
                <w:rFonts w:ascii="宋体" w:hAnsi="宋体" w:eastAsia="宋体" w:cs="宋体"/>
                <w:b/>
                <w:sz w:val="20"/>
              </w:rPr>
              <w:br w:type="textWrapping"/>
            </w:r>
            <w:r>
              <w:rPr>
                <w:rFonts w:ascii="宋体" w:hAnsi="宋体" w:eastAsia="宋体" w:cs="宋体"/>
                <w:b w:val="0"/>
                <w:sz w:val="20"/>
              </w:rPr>
              <w:t xml:space="preserve">    尊敬的投资者，您好！公司园区综合开发运营将围绕“存量提质、产城融合、运营增值”制定业务发展计划，主要包括：一是打造精品园区，沉淀系统化经验。依托现有园区项目的开发建设，建立从产业定位、规划设计、投资建设、招商运营到资产管理的全周期能力，形成可复制、可推广的“精品”园区开发建设系统性经验，提升公司园区品牌影响力。二是响应上海存量产业用地提质要求，聚焦重点区域和项目。积极对接新区存量产业用地提质增效的重点项目库，跟踪低效用地再开发、工业上楼、园区更新等政策与项目机会。探索“国企主导+市场化运营”“基金+园区”等商业模式及可行性，严控投资风险，提升资产回报。三是协同赋能传统主业。通过园区更新和综合开发，带动设计、施工、机电、装饰等传统业务，形成“园区开发运营+传统主业”联动，有效赋能传统主业。感谢您对公司的关注。</w:t>
            </w:r>
            <w:r>
              <w:rPr>
                <w:rFonts w:ascii="宋体" w:hAnsi="宋体" w:eastAsia="宋体" w:cs="宋体"/>
                <w:b w:val="0"/>
                <w:sz w:val="20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sz w:val="20"/>
                <w:lang w:val="en-US" w:eastAsia="zh-CN"/>
              </w:rPr>
              <w:t>6</w:t>
            </w:r>
            <w:r>
              <w:rPr>
                <w:rFonts w:ascii="宋体" w:hAnsi="宋体" w:eastAsia="宋体" w:cs="宋体"/>
                <w:b/>
                <w:sz w:val="20"/>
              </w:rPr>
              <w:t>.在当前融资政策环境下，公司整体融资规划？</w:t>
            </w:r>
            <w:r>
              <w:rPr>
                <w:rFonts w:ascii="宋体" w:hAnsi="宋体" w:eastAsia="宋体" w:cs="宋体"/>
                <w:b/>
                <w:sz w:val="20"/>
              </w:rPr>
              <w:br w:type="textWrapping"/>
            </w:r>
            <w:r>
              <w:rPr>
                <w:rFonts w:ascii="宋体" w:hAnsi="宋体" w:eastAsia="宋体" w:cs="宋体"/>
                <w:b w:val="0"/>
                <w:sz w:val="20"/>
              </w:rPr>
              <w:t xml:space="preserve">    尊敬的投资者，您好！公司坚持以资金需求为导向、以成本最优为目标，构建了多元储备、灵活切换的融资体系。公司将结合资金使用需求，适时选用合适的融资工具，持续优化融资结构，将综合融资成本控制在合理水平，为公司稳健经营和战略发展提供资金保障。感谢您对公司的关注！</w:t>
            </w:r>
            <w:r>
              <w:rPr>
                <w:rFonts w:ascii="宋体" w:hAnsi="宋体" w:eastAsia="宋体" w:cs="宋体"/>
                <w:b w:val="0"/>
                <w:sz w:val="20"/>
              </w:rPr>
              <w:br w:type="textWrapping"/>
            </w:r>
            <w:r>
              <w:rPr>
                <w:rFonts w:ascii="宋体" w:hAnsi="宋体" w:eastAsia="宋体" w:cs="宋体"/>
                <w:b/>
                <w:sz w:val="20"/>
              </w:rPr>
              <w:t>7.公司股东回报的中长期规划？</w:t>
            </w:r>
            <w:r>
              <w:rPr>
                <w:rFonts w:ascii="宋体" w:hAnsi="宋体" w:eastAsia="宋体" w:cs="宋体"/>
                <w:b/>
                <w:sz w:val="20"/>
              </w:rPr>
              <w:br w:type="textWrapping"/>
            </w:r>
            <w:r>
              <w:rPr>
                <w:rFonts w:ascii="宋体" w:hAnsi="宋体" w:eastAsia="宋体" w:cs="宋体"/>
                <w:b w:val="0"/>
                <w:sz w:val="20"/>
              </w:rPr>
              <w:t xml:space="preserve">    尊敬的投资者，您好！公司始终坚持将股东利益放在重要位置，保持利润分配政策的连续性和稳定性，积极采取以现金为主的利润分配方式，持续回报股东。公司将于年末启动编制《未来三年股东回报规划（2027-2029年）》，对未来三年股东回报的基本原则、分红政策、分配形式、实施周期、分红比例、分红条件、决策程序等事项作出系统性、具体化安排。欢迎您继续关注！</w:t>
            </w:r>
          </w:p>
        </w:tc>
      </w:tr>
      <w:tr w14:paraId="3663C4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999" w:hRule="atLeast"/>
          <w:jc w:val="center"/>
        </w:trPr>
        <w:tc>
          <w:tcPr>
            <w:tcW w:w="2580" w:type="dxa"/>
            <w:vAlign w:val="center"/>
          </w:tcPr>
          <w:p w14:paraId="60B57015">
            <w:pPr>
              <w:pStyle w:val="12"/>
              <w:spacing w:before="1"/>
              <w:ind w:left="107"/>
              <w:rPr>
                <w:rFonts w:hint="eastAsia" w:cs="宋体" w:asciiTheme="minorEastAsia" w:hAnsiTheme="minorEastAsia" w:eastAsiaTheme="minorEastAsia"/>
                <w:b/>
                <w:bCs/>
                <w:sz w:val="20"/>
                <w:szCs w:val="20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sz w:val="20"/>
                <w:szCs w:val="20"/>
              </w:rPr>
              <w:t>关于本次活动是否涉及应</w:t>
            </w:r>
          </w:p>
          <w:p w14:paraId="05E1D6DD">
            <w:pPr>
              <w:pStyle w:val="12"/>
              <w:spacing w:before="1"/>
              <w:ind w:left="107"/>
              <w:rPr>
                <w:rFonts w:ascii="宋体" w:hAnsi="宋体" w:eastAsia="宋体" w:cs="宋体"/>
                <w:b/>
                <w:bCs/>
                <w:sz w:val="20"/>
                <w:szCs w:val="20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sz w:val="20"/>
                <w:szCs w:val="20"/>
              </w:rPr>
              <w:t>披露重大信息的说明</w:t>
            </w:r>
          </w:p>
        </w:tc>
        <w:tc>
          <w:tcPr>
            <w:tcW w:w="5945" w:type="dxa"/>
            <w:vAlign w:val="center"/>
          </w:tcPr>
          <w:p w14:paraId="7A23F400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00" w:beforeAutospacing="1" w:line="360" w:lineRule="auto"/>
              <w:textAlignment w:val="auto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cs="宋体" w:asciiTheme="minorEastAsia" w:hAnsiTheme="minorEastAsia" w:eastAsiaTheme="minorEastAsia"/>
                <w:sz w:val="20"/>
                <w:szCs w:val="20"/>
              </w:rPr>
              <w:t>本次活动不涉及未公开披露的重大信息。</w:t>
            </w:r>
          </w:p>
        </w:tc>
      </w:tr>
      <w:tr w14:paraId="063D09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558" w:hRule="atLeast"/>
          <w:jc w:val="center"/>
        </w:trPr>
        <w:tc>
          <w:tcPr>
            <w:tcW w:w="2580" w:type="dxa"/>
            <w:vAlign w:val="center"/>
          </w:tcPr>
          <w:p w14:paraId="59B872B1">
            <w:pPr>
              <w:pStyle w:val="12"/>
              <w:spacing w:before="1"/>
              <w:ind w:left="107" w:leftChars="0"/>
              <w:rPr>
                <w:rFonts w:ascii="宋体" w:hAnsi="宋体" w:eastAsia="宋体" w:cs="宋体"/>
                <w:b/>
                <w:bCs/>
                <w:sz w:val="20"/>
                <w:szCs w:val="20"/>
                <w:lang w:val="zh-CN" w:eastAsia="zh-CN" w:bidi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0"/>
                <w:szCs w:val="20"/>
              </w:rPr>
              <w:t>附件清单（如有）</w:t>
            </w:r>
          </w:p>
        </w:tc>
        <w:tc>
          <w:tcPr>
            <w:tcW w:w="5945" w:type="dxa"/>
            <w:vAlign w:val="center"/>
          </w:tcPr>
          <w:p w14:paraId="21F9E4DB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00" w:beforeAutospacing="1" w:line="360" w:lineRule="auto"/>
              <w:textAlignment w:val="auto"/>
              <w:rPr>
                <w:rFonts w:hint="default" w:ascii="宋体" w:hAnsi="宋体" w:eastAsia="宋体" w:cs="宋体"/>
                <w:sz w:val="20"/>
                <w:szCs w:val="20"/>
                <w:lang w:val="en-US" w:eastAsia="zh-CN" w:bidi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 w:bidi="zh-CN"/>
              </w:rPr>
              <w:t>无</w:t>
            </w:r>
          </w:p>
        </w:tc>
      </w:tr>
      <w:tr w14:paraId="2A4B11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558" w:hRule="atLeast"/>
          <w:jc w:val="center"/>
        </w:trPr>
        <w:tc>
          <w:tcPr>
            <w:tcW w:w="2580" w:type="dxa"/>
            <w:vAlign w:val="center"/>
          </w:tcPr>
          <w:p w14:paraId="72871043">
            <w:pPr>
              <w:pStyle w:val="12"/>
              <w:spacing w:before="1"/>
              <w:ind w:left="107" w:leftChars="0"/>
              <w:rPr>
                <w:rFonts w:hint="eastAsia" w:ascii="宋体" w:hAnsi="宋体" w:eastAsia="宋体" w:cs="宋体"/>
                <w:b/>
                <w:bCs/>
                <w:sz w:val="20"/>
                <w:szCs w:val="20"/>
                <w:lang w:val="zh-CN" w:eastAsia="zh-CN" w:bidi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0"/>
                <w:szCs w:val="20"/>
              </w:rPr>
              <w:t>日期</w:t>
            </w:r>
          </w:p>
        </w:tc>
        <w:tc>
          <w:tcPr>
            <w:tcW w:w="5945" w:type="dxa"/>
            <w:vAlign w:val="center"/>
          </w:tcPr>
          <w:p w14:paraId="37CFB1A5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00" w:beforeAutospacing="1"/>
              <w:textAlignment w:val="auto"/>
              <w:rPr>
                <w:rFonts w:ascii="宋体" w:hAnsi="宋体" w:eastAsia="宋体" w:cs="宋体"/>
                <w:sz w:val="20"/>
                <w:szCs w:val="20"/>
                <w:lang w:val="zh-CN" w:eastAsia="zh-CN" w:bidi="zh-CN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2026年09月16日</w:t>
            </w:r>
          </w:p>
        </w:tc>
      </w:tr>
    </w:tbl>
    <w:p w14:paraId="4E1C791B">
      <w:pPr>
        <w:rPr>
          <w:rFonts w:ascii="宋体" w:hAnsi="宋体" w:eastAsia="宋体" w:cs="宋体"/>
          <w:sz w:val="28"/>
          <w:szCs w:val="36"/>
        </w:rPr>
      </w:pPr>
    </w:p>
    <w:sectPr>
      <w:type w:val="continuous"/>
      <w:pgSz w:w="11910" w:h="16840"/>
      <w:pgMar w:top="1440" w:right="1800" w:bottom="1440" w:left="180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PMingLiU">
    <w:altName w:val="Microsoft JhengHei UI"/>
    <w:panose1 w:val="02010601000101010101"/>
    <w:charset w:val="88"/>
    <w:family w:val="roman"/>
    <w:pitch w:val="default"/>
    <w:sig w:usb0="00000000" w:usb1="00000000" w:usb2="00000016" w:usb3="00000000" w:csb0="00100001" w:csb1="0000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KSOFA61C387F">
    <w:panose1 w:val="020B0604030504040204"/>
    <w:charset w:val="88"/>
    <w:family w:val="auto"/>
    <w:pitch w:val="default"/>
    <w:sig w:usb0="00000001" w:usb1="00000000" w:usb2="00000000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ViY2JkMjU3NGYzZTEwMzZmMGFkZWViYmNkYWU3NDIifQ=="/>
  </w:docVars>
  <w:rsids>
    <w:rsidRoot w:val="00301D32"/>
    <w:rsid w:val="00026CC3"/>
    <w:rsid w:val="00036089"/>
    <w:rsid w:val="00053CFA"/>
    <w:rsid w:val="000633EC"/>
    <w:rsid w:val="00063804"/>
    <w:rsid w:val="000665A2"/>
    <w:rsid w:val="000877AB"/>
    <w:rsid w:val="000B7C08"/>
    <w:rsid w:val="000D12CF"/>
    <w:rsid w:val="000D2D88"/>
    <w:rsid w:val="000E4B20"/>
    <w:rsid w:val="0011418F"/>
    <w:rsid w:val="00172C24"/>
    <w:rsid w:val="001E59D1"/>
    <w:rsid w:val="001E5EA4"/>
    <w:rsid w:val="002042A7"/>
    <w:rsid w:val="00205911"/>
    <w:rsid w:val="002146AD"/>
    <w:rsid w:val="00275CB6"/>
    <w:rsid w:val="002800B5"/>
    <w:rsid w:val="00295B29"/>
    <w:rsid w:val="002D4073"/>
    <w:rsid w:val="002E7098"/>
    <w:rsid w:val="00301D32"/>
    <w:rsid w:val="00366FAD"/>
    <w:rsid w:val="0037105B"/>
    <w:rsid w:val="003975BA"/>
    <w:rsid w:val="003A74E6"/>
    <w:rsid w:val="003B73DD"/>
    <w:rsid w:val="003D011C"/>
    <w:rsid w:val="004108C7"/>
    <w:rsid w:val="00412DC2"/>
    <w:rsid w:val="00440041"/>
    <w:rsid w:val="00451268"/>
    <w:rsid w:val="004515AD"/>
    <w:rsid w:val="00451857"/>
    <w:rsid w:val="00453516"/>
    <w:rsid w:val="00457548"/>
    <w:rsid w:val="00470DB2"/>
    <w:rsid w:val="004925E7"/>
    <w:rsid w:val="00495B11"/>
    <w:rsid w:val="004F6FF3"/>
    <w:rsid w:val="00571B49"/>
    <w:rsid w:val="005743AE"/>
    <w:rsid w:val="005D64CA"/>
    <w:rsid w:val="005E5717"/>
    <w:rsid w:val="005E6DB2"/>
    <w:rsid w:val="0061433E"/>
    <w:rsid w:val="0062751D"/>
    <w:rsid w:val="006354AA"/>
    <w:rsid w:val="00661AFA"/>
    <w:rsid w:val="006726BF"/>
    <w:rsid w:val="00677B77"/>
    <w:rsid w:val="0068718A"/>
    <w:rsid w:val="006A2739"/>
    <w:rsid w:val="006B5C95"/>
    <w:rsid w:val="006E14B0"/>
    <w:rsid w:val="006F0108"/>
    <w:rsid w:val="00704AE6"/>
    <w:rsid w:val="007153A2"/>
    <w:rsid w:val="00724A68"/>
    <w:rsid w:val="007271BF"/>
    <w:rsid w:val="00730DD3"/>
    <w:rsid w:val="00733224"/>
    <w:rsid w:val="00764128"/>
    <w:rsid w:val="007824B8"/>
    <w:rsid w:val="007910DD"/>
    <w:rsid w:val="007A3EC1"/>
    <w:rsid w:val="007B3368"/>
    <w:rsid w:val="007D0A69"/>
    <w:rsid w:val="007D6DC4"/>
    <w:rsid w:val="00853463"/>
    <w:rsid w:val="00893F25"/>
    <w:rsid w:val="00895035"/>
    <w:rsid w:val="008B2B14"/>
    <w:rsid w:val="008C6AED"/>
    <w:rsid w:val="008C7604"/>
    <w:rsid w:val="008E1B27"/>
    <w:rsid w:val="00903379"/>
    <w:rsid w:val="00906975"/>
    <w:rsid w:val="00917F0B"/>
    <w:rsid w:val="00917F8B"/>
    <w:rsid w:val="00960964"/>
    <w:rsid w:val="00965E4D"/>
    <w:rsid w:val="009B1D5C"/>
    <w:rsid w:val="009C2E31"/>
    <w:rsid w:val="009E1955"/>
    <w:rsid w:val="00A527AA"/>
    <w:rsid w:val="00A5684D"/>
    <w:rsid w:val="00A75C61"/>
    <w:rsid w:val="00A9601B"/>
    <w:rsid w:val="00AD100E"/>
    <w:rsid w:val="00AE1E36"/>
    <w:rsid w:val="00AF74AA"/>
    <w:rsid w:val="00B03C2F"/>
    <w:rsid w:val="00B15064"/>
    <w:rsid w:val="00B340A3"/>
    <w:rsid w:val="00B410F5"/>
    <w:rsid w:val="00B6280C"/>
    <w:rsid w:val="00B671A4"/>
    <w:rsid w:val="00B72CD4"/>
    <w:rsid w:val="00B85B00"/>
    <w:rsid w:val="00BF132F"/>
    <w:rsid w:val="00C13878"/>
    <w:rsid w:val="00CA1705"/>
    <w:rsid w:val="00CE1A54"/>
    <w:rsid w:val="00CF5FB6"/>
    <w:rsid w:val="00D02518"/>
    <w:rsid w:val="00D17454"/>
    <w:rsid w:val="00D33FBC"/>
    <w:rsid w:val="00D7535C"/>
    <w:rsid w:val="00D76302"/>
    <w:rsid w:val="00DA5CE2"/>
    <w:rsid w:val="00DE10E8"/>
    <w:rsid w:val="00E16FDA"/>
    <w:rsid w:val="00E35F58"/>
    <w:rsid w:val="00E45BD9"/>
    <w:rsid w:val="00E66FFC"/>
    <w:rsid w:val="00E759D6"/>
    <w:rsid w:val="00E84A8C"/>
    <w:rsid w:val="00E976DE"/>
    <w:rsid w:val="00EC0F83"/>
    <w:rsid w:val="00EE3187"/>
    <w:rsid w:val="00EF499B"/>
    <w:rsid w:val="00F14977"/>
    <w:rsid w:val="00FB4A08"/>
    <w:rsid w:val="00FC0C2A"/>
    <w:rsid w:val="00FD7F8E"/>
    <w:rsid w:val="00FF11E4"/>
    <w:rsid w:val="04B072D4"/>
    <w:rsid w:val="05F575D4"/>
    <w:rsid w:val="064249C6"/>
    <w:rsid w:val="07966C0A"/>
    <w:rsid w:val="08641132"/>
    <w:rsid w:val="09186774"/>
    <w:rsid w:val="0945438F"/>
    <w:rsid w:val="0A71587A"/>
    <w:rsid w:val="0B792C38"/>
    <w:rsid w:val="0C1839BB"/>
    <w:rsid w:val="0C28640C"/>
    <w:rsid w:val="0E90599A"/>
    <w:rsid w:val="0ED720CD"/>
    <w:rsid w:val="12070CAE"/>
    <w:rsid w:val="145F688C"/>
    <w:rsid w:val="14D47131"/>
    <w:rsid w:val="15680001"/>
    <w:rsid w:val="15DD2205"/>
    <w:rsid w:val="17072842"/>
    <w:rsid w:val="17A67110"/>
    <w:rsid w:val="1864189B"/>
    <w:rsid w:val="18D73A7D"/>
    <w:rsid w:val="19557370"/>
    <w:rsid w:val="1BD06B6A"/>
    <w:rsid w:val="1F782BDE"/>
    <w:rsid w:val="204A6A53"/>
    <w:rsid w:val="23317869"/>
    <w:rsid w:val="25650CAE"/>
    <w:rsid w:val="26406598"/>
    <w:rsid w:val="28080056"/>
    <w:rsid w:val="28734C1A"/>
    <w:rsid w:val="28C72DDD"/>
    <w:rsid w:val="29EE0E64"/>
    <w:rsid w:val="2BC4020A"/>
    <w:rsid w:val="2EF90F16"/>
    <w:rsid w:val="2F125C63"/>
    <w:rsid w:val="302C3D0A"/>
    <w:rsid w:val="3104598F"/>
    <w:rsid w:val="33DE31BB"/>
    <w:rsid w:val="389C49C0"/>
    <w:rsid w:val="39BC78F4"/>
    <w:rsid w:val="3B35486F"/>
    <w:rsid w:val="3EF1250A"/>
    <w:rsid w:val="40567DB0"/>
    <w:rsid w:val="40FF5CD2"/>
    <w:rsid w:val="42DB40B0"/>
    <w:rsid w:val="43B71B0A"/>
    <w:rsid w:val="44FA0589"/>
    <w:rsid w:val="45A663E3"/>
    <w:rsid w:val="469F09AF"/>
    <w:rsid w:val="4B756271"/>
    <w:rsid w:val="4C8E1CA8"/>
    <w:rsid w:val="4D6D36A4"/>
    <w:rsid w:val="510903EF"/>
    <w:rsid w:val="53F137F4"/>
    <w:rsid w:val="543A6906"/>
    <w:rsid w:val="54F86E15"/>
    <w:rsid w:val="56850CBB"/>
    <w:rsid w:val="59D8738A"/>
    <w:rsid w:val="5A666D76"/>
    <w:rsid w:val="5B2253C2"/>
    <w:rsid w:val="5CF02E0F"/>
    <w:rsid w:val="603269D2"/>
    <w:rsid w:val="61A52BCA"/>
    <w:rsid w:val="67095496"/>
    <w:rsid w:val="67ED7463"/>
    <w:rsid w:val="681A546A"/>
    <w:rsid w:val="68507D37"/>
    <w:rsid w:val="69CB37D4"/>
    <w:rsid w:val="6A0D5B9B"/>
    <w:rsid w:val="6A3B23B1"/>
    <w:rsid w:val="6AEA32DC"/>
    <w:rsid w:val="6CC24AB5"/>
    <w:rsid w:val="6D9271B2"/>
    <w:rsid w:val="6F134790"/>
    <w:rsid w:val="6FE81F5F"/>
    <w:rsid w:val="7225308B"/>
    <w:rsid w:val="72446028"/>
    <w:rsid w:val="73076EC0"/>
    <w:rsid w:val="74210CA6"/>
    <w:rsid w:val="746F4E76"/>
    <w:rsid w:val="76430096"/>
    <w:rsid w:val="788C25F5"/>
    <w:rsid w:val="79F72AA9"/>
    <w:rsid w:val="7A144529"/>
    <w:rsid w:val="7DD37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仿宋" w:hAnsi="仿宋" w:eastAsia="仿宋" w:cs="仿宋"/>
      <w:sz w:val="22"/>
      <w:szCs w:val="22"/>
      <w:lang w:val="zh-CN" w:eastAsia="zh-CN" w:bidi="zh-CN"/>
    </w:rPr>
  </w:style>
  <w:style w:type="paragraph" w:styleId="2">
    <w:name w:val="heading 1"/>
    <w:basedOn w:val="1"/>
    <w:next w:val="1"/>
    <w:qFormat/>
    <w:uiPriority w:val="1"/>
    <w:pPr>
      <w:outlineLvl w:val="0"/>
    </w:pPr>
    <w:rPr>
      <w:rFonts w:ascii="PMingLiU" w:hAnsi="PMingLiU" w:eastAsia="PMingLiU" w:cs="PMingLiU"/>
      <w:sz w:val="44"/>
      <w:szCs w:val="44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5"/>
    <w:qFormat/>
    <w:uiPriority w:val="0"/>
  </w:style>
  <w:style w:type="paragraph" w:styleId="4">
    <w:name w:val="Body Text"/>
    <w:basedOn w:val="1"/>
    <w:qFormat/>
    <w:uiPriority w:val="1"/>
    <w:pPr>
      <w:ind w:left="220"/>
    </w:pPr>
    <w:rPr>
      <w:sz w:val="32"/>
      <w:szCs w:val="32"/>
    </w:rPr>
  </w:style>
  <w:style w:type="paragraph" w:styleId="5">
    <w:name w:val="Balloon Text"/>
    <w:basedOn w:val="1"/>
    <w:link w:val="17"/>
    <w:qFormat/>
    <w:uiPriority w:val="0"/>
    <w:rPr>
      <w:sz w:val="18"/>
      <w:szCs w:val="18"/>
    </w:rPr>
  </w:style>
  <w:style w:type="paragraph" w:styleId="6">
    <w:name w:val="footer"/>
    <w:basedOn w:val="1"/>
    <w:link w:val="14"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7">
    <w:name w:val="header"/>
    <w:basedOn w:val="1"/>
    <w:link w:val="13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annotation subject"/>
    <w:basedOn w:val="3"/>
    <w:next w:val="3"/>
    <w:link w:val="16"/>
    <w:qFormat/>
    <w:uiPriority w:val="0"/>
    <w:rPr>
      <w:b/>
      <w:bCs/>
    </w:rPr>
  </w:style>
  <w:style w:type="character" w:styleId="11">
    <w:name w:val="annotation reference"/>
    <w:basedOn w:val="10"/>
    <w:qFormat/>
    <w:uiPriority w:val="0"/>
    <w:rPr>
      <w:sz w:val="21"/>
      <w:szCs w:val="21"/>
    </w:rPr>
  </w:style>
  <w:style w:type="paragraph" w:customStyle="1" w:styleId="12">
    <w:name w:val="Table Paragraph"/>
    <w:basedOn w:val="1"/>
    <w:qFormat/>
    <w:uiPriority w:val="1"/>
  </w:style>
  <w:style w:type="character" w:customStyle="1" w:styleId="13">
    <w:name w:val="页眉 字符"/>
    <w:basedOn w:val="10"/>
    <w:link w:val="7"/>
    <w:qFormat/>
    <w:uiPriority w:val="0"/>
    <w:rPr>
      <w:rFonts w:ascii="仿宋" w:hAnsi="仿宋" w:eastAsia="仿宋" w:cs="仿宋"/>
      <w:sz w:val="18"/>
      <w:szCs w:val="18"/>
      <w:lang w:val="zh-CN" w:bidi="zh-CN"/>
    </w:rPr>
  </w:style>
  <w:style w:type="character" w:customStyle="1" w:styleId="14">
    <w:name w:val="页脚 字符"/>
    <w:basedOn w:val="10"/>
    <w:link w:val="6"/>
    <w:qFormat/>
    <w:uiPriority w:val="0"/>
    <w:rPr>
      <w:rFonts w:ascii="仿宋" w:hAnsi="仿宋" w:eastAsia="仿宋" w:cs="仿宋"/>
      <w:sz w:val="18"/>
      <w:szCs w:val="18"/>
      <w:lang w:val="zh-CN" w:bidi="zh-CN"/>
    </w:rPr>
  </w:style>
  <w:style w:type="character" w:customStyle="1" w:styleId="15">
    <w:name w:val="批注文字 字符"/>
    <w:basedOn w:val="10"/>
    <w:link w:val="3"/>
    <w:qFormat/>
    <w:uiPriority w:val="0"/>
    <w:rPr>
      <w:rFonts w:ascii="仿宋" w:hAnsi="仿宋" w:eastAsia="仿宋" w:cs="仿宋"/>
      <w:sz w:val="22"/>
      <w:szCs w:val="22"/>
      <w:lang w:val="zh-CN" w:bidi="zh-CN"/>
    </w:rPr>
  </w:style>
  <w:style w:type="character" w:customStyle="1" w:styleId="16">
    <w:name w:val="批注主题 字符"/>
    <w:basedOn w:val="15"/>
    <w:link w:val="8"/>
    <w:qFormat/>
    <w:uiPriority w:val="0"/>
    <w:rPr>
      <w:rFonts w:ascii="仿宋" w:hAnsi="仿宋" w:eastAsia="仿宋" w:cs="仿宋"/>
      <w:b/>
      <w:bCs/>
      <w:sz w:val="22"/>
      <w:szCs w:val="22"/>
      <w:lang w:val="zh-CN" w:bidi="zh-CN"/>
    </w:rPr>
  </w:style>
  <w:style w:type="character" w:customStyle="1" w:styleId="17">
    <w:name w:val="批注框文本 字符"/>
    <w:basedOn w:val="10"/>
    <w:link w:val="5"/>
    <w:qFormat/>
    <w:uiPriority w:val="0"/>
    <w:rPr>
      <w:rFonts w:ascii="仿宋" w:hAnsi="仿宋" w:eastAsia="仿宋" w:cs="仿宋"/>
      <w:sz w:val="18"/>
      <w:szCs w:val="18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416454-D52C-4974-A468-5D02FFFCA6D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1762</Words>
  <Characters>1862</Characters>
  <Lines>2</Lines>
  <Paragraphs>1</Paragraphs>
  <TotalTime>13</TotalTime>
  <ScaleCrop>false</ScaleCrop>
  <LinksUpToDate>false</LinksUpToDate>
  <CharactersWithSpaces>1946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2022-04-12T06:10:00Z</dcterms:created>
  <dc:creator>jie.huang</dc:creator>
  <cp:lastModifiedBy>丁岳尊</cp:lastModifiedBy>
  <dcterms:modified xsi:type="dcterms:W3CDTF">2026-09-17T08:22:36Z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0EFA37ABFD324D83AF44C24C9705225A_13</vt:lpwstr>
  </property>
  <property fmtid="{D5CDD505-2E9C-101B-9397-08002B2CF9AE}" pid="4" name="KSOTemplateDocerSaveRecord">
    <vt:lpwstr>eyJoZGlkIjoiYzVjMjJkNzNmNTVmNGIyYjM5MDYyMDRhNjQzNjZmOTgiLCJ1c2VySWQiOiIxNTQ2MDM0MjM0In0=</vt:lpwstr>
  </property>
</Properties>
</file>