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26B1C">
      <w:pPr>
        <w:spacing w:line="360" w:lineRule="auto"/>
        <w:rPr>
          <w:rFonts w:ascii="宋体" w:hAnsi="宋体"/>
          <w:bCs/>
          <w:iCs/>
          <w:color w:val="000000"/>
          <w:sz w:val="24"/>
          <w:szCs w:val="24"/>
        </w:rPr>
      </w:pPr>
      <w:r>
        <w:rPr>
          <w:rFonts w:hint="eastAsia" w:ascii="宋体" w:hAnsi="宋体"/>
          <w:bCs/>
          <w:iCs/>
          <w:color w:val="000000"/>
          <w:sz w:val="24"/>
          <w:szCs w:val="24"/>
        </w:rPr>
        <w:t>证券代码：</w:t>
      </w:r>
      <w:r>
        <w:rPr>
          <w:rFonts w:ascii="宋体" w:hAnsi="宋体"/>
          <w:bCs/>
          <w:iCs/>
          <w:color w:val="000000"/>
          <w:sz w:val="24"/>
          <w:szCs w:val="24"/>
        </w:rPr>
        <w:t>601113</w:t>
      </w:r>
      <w:r>
        <w:rPr>
          <w:rFonts w:hint="eastAsia" w:ascii="宋体" w:hAnsi="宋体"/>
          <w:bCs/>
          <w:iCs/>
          <w:color w:val="000000"/>
          <w:sz w:val="24"/>
          <w:szCs w:val="24"/>
        </w:rPr>
        <w:t xml:space="preserve">                          </w:t>
      </w:r>
      <w:r>
        <w:rPr>
          <w:rFonts w:ascii="宋体" w:hAnsi="宋体"/>
          <w:bCs/>
          <w:iCs/>
          <w:color w:val="000000"/>
          <w:sz w:val="24"/>
          <w:szCs w:val="24"/>
        </w:rPr>
        <w:t xml:space="preserve">         </w:t>
      </w:r>
      <w:r>
        <w:rPr>
          <w:rFonts w:hint="eastAsia" w:ascii="宋体" w:hAnsi="宋体"/>
          <w:bCs/>
          <w:iCs/>
          <w:color w:val="000000"/>
          <w:sz w:val="24"/>
          <w:szCs w:val="24"/>
        </w:rPr>
        <w:t>证券简称：华鼎股份</w:t>
      </w:r>
    </w:p>
    <w:p w14:paraId="3268D585">
      <w:pPr>
        <w:spacing w:line="56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义乌华鼎锦纶股份有限公司</w:t>
      </w:r>
    </w:p>
    <w:p w14:paraId="2BF23656">
      <w:pPr>
        <w:spacing w:line="560" w:lineRule="exact"/>
        <w:jc w:val="center"/>
        <w:rPr>
          <w:rFonts w:ascii="宋体" w:hAnsi="宋体"/>
          <w:b/>
          <w:bCs/>
          <w:iCs/>
          <w:color w:val="000000"/>
          <w:sz w:val="32"/>
          <w:szCs w:val="32"/>
        </w:rPr>
      </w:pPr>
      <w:r>
        <w:rPr>
          <w:rFonts w:hint="eastAsia" w:ascii="宋体" w:hAnsi="宋体"/>
          <w:b/>
          <w:bCs/>
          <w:iCs/>
          <w:color w:val="000000"/>
          <w:sz w:val="32"/>
          <w:szCs w:val="32"/>
        </w:rPr>
        <w:t>投资者关系活动记录表</w:t>
      </w:r>
    </w:p>
    <w:p w14:paraId="78708940">
      <w:pPr>
        <w:spacing w:line="560" w:lineRule="exact"/>
        <w:jc w:val="right"/>
        <w:rPr>
          <w:rFonts w:ascii="宋体" w:hAnsi="宋体"/>
          <w:bCs/>
          <w:iCs/>
          <w:color w:val="000000"/>
          <w:sz w:val="28"/>
          <w:szCs w:val="28"/>
        </w:rPr>
      </w:pPr>
      <w:r>
        <w:rPr>
          <w:rFonts w:hint="eastAsia" w:ascii="宋体" w:hAnsi="宋体"/>
          <w:bCs/>
          <w:iCs/>
          <w:color w:val="000000"/>
          <w:sz w:val="28"/>
          <w:szCs w:val="28"/>
        </w:rPr>
        <w:t xml:space="preserve">                                          编号：</w:t>
      </w:r>
      <w:r>
        <w:rPr>
          <w:rFonts w:hint="eastAsia" w:ascii="宋体" w:hAnsi="宋体"/>
          <w:bCs/>
          <w:iCs/>
          <w:color w:val="000000"/>
          <w:sz w:val="24"/>
          <w:szCs w:val="24"/>
        </w:rPr>
        <w:t>2</w:t>
      </w:r>
      <w:r>
        <w:rPr>
          <w:rFonts w:ascii="宋体" w:hAnsi="宋体"/>
          <w:bCs/>
          <w:iCs/>
          <w:color w:val="000000"/>
          <w:sz w:val="24"/>
          <w:szCs w:val="24"/>
        </w:rPr>
        <w:t>026</w:t>
      </w:r>
      <w:r>
        <w:rPr>
          <w:rFonts w:hint="eastAsia" w:ascii="宋体" w:hAnsi="宋体"/>
          <w:bCs/>
          <w:iCs/>
          <w:color w:val="000000"/>
          <w:sz w:val="24"/>
          <w:szCs w:val="24"/>
        </w:rPr>
        <w:t>-</w:t>
      </w:r>
      <w:r>
        <w:rPr>
          <w:rFonts w:ascii="宋体" w:hAnsi="宋体"/>
          <w:bCs/>
          <w:iCs/>
          <w:color w:val="000000"/>
          <w:sz w:val="24"/>
          <w:szCs w:val="24"/>
        </w:rPr>
        <w:t>003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6854"/>
      </w:tblGrid>
      <w:tr w14:paraId="6130B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208FFEF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投资者关系活动类别</w:t>
            </w:r>
          </w:p>
          <w:p w14:paraId="3133D6E2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  <w:tc>
          <w:tcPr>
            <w:tcW w:w="6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74BB486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特定对象调研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</w:rPr>
              <w:t>分析师会议</w:t>
            </w:r>
          </w:p>
          <w:p w14:paraId="1B10ED75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媒体采访    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</w:rPr>
              <w:t>业绩说明会</w:t>
            </w:r>
          </w:p>
          <w:p w14:paraId="76A3439C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</w:rPr>
              <w:t xml:space="preserve">新闻发布会  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</w:rPr>
              <w:t>路演活动</w:t>
            </w:r>
          </w:p>
          <w:p w14:paraId="1CD0D6E0">
            <w:pPr>
              <w:tabs>
                <w:tab w:val="left" w:pos="2805"/>
                <w:tab w:val="center" w:pos="3199"/>
              </w:tabs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√现场参观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 xml:space="preserve">            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□电话会议</w:t>
            </w:r>
          </w:p>
          <w:p w14:paraId="51A01EBD">
            <w:pPr>
              <w:tabs>
                <w:tab w:val="center" w:pos="3199"/>
              </w:tabs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</w:rPr>
              <w:t>其他 （</w:t>
            </w:r>
            <w:r>
              <w:rPr>
                <w:rFonts w:hint="eastAsia" w:ascii="宋体" w:hAnsi="宋体"/>
                <w:color w:val="000000"/>
                <w:sz w:val="24"/>
                <w:u w:val="single"/>
              </w:rPr>
              <w:t>请文字说明其他活动内容）</w:t>
            </w:r>
          </w:p>
        </w:tc>
      </w:tr>
      <w:tr w14:paraId="29C2F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5499337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参与单位名称及人员姓名</w:t>
            </w:r>
          </w:p>
        </w:tc>
        <w:tc>
          <w:tcPr>
            <w:tcW w:w="6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DBEF1E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浙商证券股份有限公司、浙江浙商证券资产管理有限公司及其他个人投资者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38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人</w:t>
            </w:r>
          </w:p>
        </w:tc>
      </w:tr>
      <w:tr w14:paraId="57DED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BF1873A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6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1FB126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202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6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年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9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月1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7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日星期四</w:t>
            </w:r>
          </w:p>
        </w:tc>
      </w:tr>
      <w:tr w14:paraId="151E5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0244AE3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6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F92351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公司五洲厂区会议室</w:t>
            </w:r>
          </w:p>
        </w:tc>
      </w:tr>
      <w:tr w14:paraId="23EBC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88735A">
            <w:pPr>
              <w:spacing w:line="360" w:lineRule="auto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上市公司接待人员姓名</w:t>
            </w:r>
          </w:p>
        </w:tc>
        <w:tc>
          <w:tcPr>
            <w:tcW w:w="6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2C90CD">
            <w:pPr>
              <w:spacing w:line="400" w:lineRule="exact"/>
              <w:rPr>
                <w:rFonts w:ascii="宋体" w:hAnsi="宋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lang w:val="en-US" w:eastAsia="zh-CN"/>
              </w:rPr>
              <w:t>真爱集团总裁兼华鼎股份董事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</w:rPr>
              <w:t xml:space="preserve"> 郑扬先生</w:t>
            </w:r>
          </w:p>
          <w:p w14:paraId="46BBA33E">
            <w:pPr>
              <w:spacing w:line="400" w:lineRule="exact"/>
              <w:rPr>
                <w:rFonts w:ascii="宋体" w:hAnsi="宋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lang w:val="en-US" w:eastAsia="zh-CN"/>
              </w:rPr>
              <w:t>华鼎股份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</w:rPr>
              <w:t>董事兼董事会秘书 张益惠女士</w:t>
            </w:r>
          </w:p>
          <w:p w14:paraId="6BFCC6CE">
            <w:pPr>
              <w:spacing w:line="400" w:lineRule="exact"/>
              <w:rPr>
                <w:rFonts w:ascii="宋体" w:hAnsi="宋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</w:rPr>
              <w:t>真爱集团投资部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lang w:val="en-US" w:eastAsia="zh-CN"/>
              </w:rPr>
              <w:t>总监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</w:rPr>
              <w:t xml:space="preserve"> 黄永丰先生</w:t>
            </w:r>
          </w:p>
          <w:p w14:paraId="5B63C432">
            <w:pPr>
              <w:spacing w:line="400" w:lineRule="exact"/>
              <w:rPr>
                <w:rFonts w:ascii="宋体" w:hAnsi="宋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lang w:val="en-US" w:eastAsia="zh-CN"/>
              </w:rPr>
              <w:t>华鼎股份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</w:rPr>
              <w:t>证券事务代表 葛美华女士</w:t>
            </w:r>
          </w:p>
          <w:p w14:paraId="0AA507E4">
            <w:pPr>
              <w:spacing w:line="400" w:lineRule="exact"/>
              <w:rPr>
                <w:rFonts w:ascii="宋体" w:hAnsi="宋体" w:cs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lang w:val="en-US" w:eastAsia="zh-CN"/>
              </w:rPr>
              <w:t>华鼎股份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</w:rPr>
              <w:t>I</w:t>
            </w:r>
            <w:r>
              <w:rPr>
                <w:rFonts w:ascii="宋体" w:hAnsi="宋体" w:cs="宋体"/>
                <w:bCs/>
                <w:iCs/>
                <w:color w:val="000000"/>
                <w:sz w:val="24"/>
              </w:rPr>
              <w:t>R</w:t>
            </w:r>
            <w:r>
              <w:rPr>
                <w:rFonts w:hint="eastAsia" w:ascii="宋体" w:hAnsi="宋体" w:cs="宋体"/>
                <w:bCs/>
                <w:iCs/>
                <w:color w:val="000000"/>
                <w:sz w:val="24"/>
              </w:rPr>
              <w:t>经理 宋筱女士</w:t>
            </w:r>
          </w:p>
        </w:tc>
      </w:tr>
      <w:tr w14:paraId="07A32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2B0DD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4E82372B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</w:p>
        </w:tc>
        <w:tc>
          <w:tcPr>
            <w:tcW w:w="6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469A4B">
            <w:pPr>
              <w:spacing w:line="360" w:lineRule="auto"/>
              <w:ind w:firstLine="480" w:firstLineChars="200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华鼎股份创建于2002年，是真爱集团旗下核心企业，专注于高品质、差别化民用锦纶，已完成锦纶6、锦纶66共同组成的锦纶长丝矩阵，是国际首屈一指的锦纶品质引领者。</w:t>
            </w:r>
          </w:p>
          <w:p w14:paraId="76997C09">
            <w:pPr>
              <w:spacing w:line="360" w:lineRule="auto"/>
              <w:ind w:firstLine="480" w:firstLineChars="200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公司建成全球规模最大、智能化程度最高的锦纶未来工厂，是国家工信部全流程锦纶生产智能工厂、浙江省未来工厂。工厂引进世界先进水平的卷绕、自动化落筒和自动化检验包装以及瑞士SSM超细空变丝等设备，融合应用锦纶MES智能化等最新前沿技术，开创锦纶全流程全自动化智能制造的先河。</w:t>
            </w:r>
          </w:p>
          <w:p w14:paraId="1C33DB1F">
            <w:pPr>
              <w:spacing w:line="360" w:lineRule="auto"/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一、石油价格的影响和应对措施？</w:t>
            </w:r>
          </w:p>
          <w:p w14:paraId="0C69FF1E">
            <w:pPr>
              <w:spacing w:line="360" w:lineRule="auto"/>
              <w:ind w:firstLine="480" w:firstLineChars="200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答：公司生产所用原材料属于石油衍生品，国际原油价格波动将沿产业链传导，对公司原材料采购成本形成影响。针对上述风险，公司已建立多维度应对机制，具体措施如下：</w:t>
            </w:r>
          </w:p>
          <w:p w14:paraId="596CE6FB">
            <w:pPr>
              <w:spacing w:line="360" w:lineRule="auto"/>
              <w:ind w:firstLine="482" w:firstLineChars="200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1、采购及库存策略管理：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日常执行快周转、低库存的运营模式，减少原材料价格波动带来的敞口风险；当原料价格处于相对低位、且市场预期存在上行空间时，适度增加备货、提前锁定部分原料采购成本，平滑成本波动。</w:t>
            </w:r>
          </w:p>
          <w:p w14:paraId="41E61728">
            <w:pPr>
              <w:spacing w:line="360" w:lineRule="auto"/>
              <w:ind w:firstLine="482" w:firstLineChars="200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2、产品结构持续升级：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持续推进产品向功能性、差异化、高性能锦纶及PA66方向迭代，优化现有产品体系，加大高附加值产品研发投入，完善高端产品矩阵，提升产品核心竞争力与盈利能力，对冲基础原料价格波动带来的影响。</w:t>
            </w:r>
          </w:p>
          <w:p w14:paraId="3313298E">
            <w:pPr>
              <w:spacing w:line="360" w:lineRule="auto"/>
              <w:ind w:firstLine="482" w:firstLineChars="200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3、智能制造与精细化运营管理：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运用物联网、人工智能等数字化技术，实现生产全流程自动化管控；同步落地精益生产管理体系，严控各项运营费用，持续提升生产运营效率，实现降本增效。</w:t>
            </w:r>
          </w:p>
          <w:p w14:paraId="012E0621">
            <w:pPr>
              <w:spacing w:line="360" w:lineRule="auto"/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二、五洲新材的产能及优势？</w:t>
            </w:r>
          </w:p>
          <w:p w14:paraId="5DADD5C9">
            <w:pPr>
              <w:spacing w:line="360" w:lineRule="auto"/>
              <w:ind w:firstLine="480" w:firstLineChars="200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答：五洲厂区一期原有设计产能15万吨PA6差别化锦纶长丝；二期6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.5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万吨高品质PA6项目已于2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026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年5月竣工验收，五洲厂区PA6设计产能合计21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.5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万吨，产品以FDY、DTY、ATY为主，主要应用于高端内衣、运动户外面料领域。五洲厂区核心竞争优势如下：</w:t>
            </w:r>
          </w:p>
          <w:p w14:paraId="70EF69E4">
            <w:pPr>
              <w:spacing w:line="360" w:lineRule="auto"/>
              <w:ind w:firstLine="482" w:firstLineChars="200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1、智能制造优势：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基地获评工信部智能制造示范工厂、浙江未来工厂。项目引进进口纺丝设备、瑞士SSM空变丝设备，依托MES系统实现生产全流程数字化管控，配套自动落筒、在线检测及自动化包装设施。</w:t>
            </w:r>
          </w:p>
          <w:p w14:paraId="2BBE4E62">
            <w:pPr>
              <w:spacing w:line="360" w:lineRule="auto"/>
              <w:ind w:firstLine="482" w:firstLineChars="200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2、柔性化生产优势：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产线柔性生产能力突出，可支撑多品种、小批量定制化生产。相较于传统老旧产线，未来工厂在人工成本控制、产品质量稳定性方面具备明显优势，能够提升丝条强度、降低产品次品率。</w:t>
            </w:r>
          </w:p>
          <w:p w14:paraId="3ED1D780">
            <w:pPr>
              <w:spacing w:line="360" w:lineRule="auto"/>
              <w:ind w:firstLine="482" w:firstLineChars="200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3、高端产品定位优势：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五洲厂区聚焦中高端细旦产品，其中DTY产品获评国家制造业单项冠军，空变丝（ATY）属于国内稀缺品类。</w:t>
            </w:r>
          </w:p>
          <w:p w14:paraId="1345116F">
            <w:pPr>
              <w:spacing w:line="360" w:lineRule="auto"/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color w:val="000000"/>
                <w:sz w:val="24"/>
              </w:rPr>
              <w:t>三、公司有哪些创新性研发成果？</w:t>
            </w:r>
          </w:p>
          <w:p w14:paraId="5BBA912F">
            <w:pPr>
              <w:spacing w:line="360" w:lineRule="auto"/>
              <w:ind w:firstLine="480" w:firstLineChars="200"/>
              <w:rPr>
                <w:rFonts w:hint="eastAsia"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答：公司持续加大研发投入，与知名品牌客户签署战略合作框架协议，共建运动功能性锦纶纤维创新基地，搭建常态化联合开发机制，围绕运动场景下高性能、可持续锦纶材料开展定向联合技术攻关，有序推进多款差异化锦纶产品的下游应用验证。</w:t>
            </w:r>
          </w:p>
          <w:p w14:paraId="11DBE6B1">
            <w:pPr>
              <w:spacing w:line="360" w:lineRule="auto"/>
              <w:ind w:firstLine="480" w:firstLineChars="200"/>
              <w:rPr>
                <w:rFonts w:ascii="宋体" w:hAnsi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在产品创新层面，公司从纤维基材出发，依托共聚改性、分子及纤维结构改性、原位微孔成型等技术路径，针对易去污、弹性、凉感、透气、防透、阻</w:t>
            </w:r>
            <w:bookmarkStart w:id="0" w:name="_GoBack"/>
            <w:bookmarkEnd w:id="0"/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燃等终端需求开展定向开发，有效拓展高端服饰、家纺等多元化应用市场。同时，公司稳步推进海洋再生锦纶纤维研发，持续完善绿色循环纤维产品布局。通过系列研发项目落地，公司持续推动产品结构向高附加值方向优化升级，巩固并提升长期核心竞争优势。</w:t>
            </w:r>
          </w:p>
        </w:tc>
      </w:tr>
      <w:tr w14:paraId="11F7D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03E88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附件清单（如有）</w:t>
            </w:r>
          </w:p>
        </w:tc>
        <w:tc>
          <w:tcPr>
            <w:tcW w:w="6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BF6E3B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无</w:t>
            </w:r>
          </w:p>
        </w:tc>
      </w:tr>
      <w:tr w14:paraId="143E3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44377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6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385C43">
            <w:pPr>
              <w:spacing w:line="560" w:lineRule="exact"/>
              <w:rPr>
                <w:rFonts w:ascii="宋体" w:hAnsi="宋体"/>
                <w:bCs/>
                <w:i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2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026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年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9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月1</w:t>
            </w:r>
            <w:r>
              <w:rPr>
                <w:rFonts w:ascii="宋体" w:hAnsi="宋体"/>
                <w:bCs/>
                <w:iCs/>
                <w:color w:val="000000"/>
                <w:sz w:val="24"/>
              </w:rPr>
              <w:t>7</w:t>
            </w:r>
            <w:r>
              <w:rPr>
                <w:rFonts w:hint="eastAsia" w:ascii="宋体" w:hAnsi="宋体"/>
                <w:bCs/>
                <w:iCs/>
                <w:color w:val="000000"/>
                <w:sz w:val="24"/>
              </w:rPr>
              <w:t>日</w:t>
            </w:r>
          </w:p>
        </w:tc>
      </w:tr>
    </w:tbl>
    <w:p w14:paraId="4602D5F8">
      <w:pPr>
        <w:rPr>
          <w:rFonts w:ascii="宋体" w:hAnsi="宋体"/>
        </w:rPr>
      </w:pPr>
    </w:p>
    <w:sectPr>
      <w:footerReference r:id="rId3" w:type="default"/>
      <w:pgSz w:w="11906" w:h="16838"/>
      <w:pgMar w:top="1440" w:right="1800" w:bottom="1440" w:left="1800" w:header="851" w:footer="62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32548576"/>
    </w:sdtPr>
    <w:sdtContent>
      <w:p w14:paraId="06245A10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16A0A4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75A"/>
    <w:rsid w:val="000000C8"/>
    <w:rsid w:val="00002B0B"/>
    <w:rsid w:val="00003E76"/>
    <w:rsid w:val="00010B7D"/>
    <w:rsid w:val="00051E29"/>
    <w:rsid w:val="000610DA"/>
    <w:rsid w:val="00081B5A"/>
    <w:rsid w:val="00085ACF"/>
    <w:rsid w:val="000B03CE"/>
    <w:rsid w:val="000B11D2"/>
    <w:rsid w:val="000B77E2"/>
    <w:rsid w:val="000B7A1A"/>
    <w:rsid w:val="000E361C"/>
    <w:rsid w:val="000E3B12"/>
    <w:rsid w:val="000F32F0"/>
    <w:rsid w:val="00102209"/>
    <w:rsid w:val="001138BD"/>
    <w:rsid w:val="00124F3F"/>
    <w:rsid w:val="00142693"/>
    <w:rsid w:val="00181106"/>
    <w:rsid w:val="001B369D"/>
    <w:rsid w:val="001C7A8B"/>
    <w:rsid w:val="001E6E92"/>
    <w:rsid w:val="002224F0"/>
    <w:rsid w:val="0024565E"/>
    <w:rsid w:val="002D4BEC"/>
    <w:rsid w:val="002F4F92"/>
    <w:rsid w:val="0030529F"/>
    <w:rsid w:val="00330EDA"/>
    <w:rsid w:val="00331E28"/>
    <w:rsid w:val="00352511"/>
    <w:rsid w:val="003526AE"/>
    <w:rsid w:val="0035378E"/>
    <w:rsid w:val="00373825"/>
    <w:rsid w:val="00397554"/>
    <w:rsid w:val="003A0E5A"/>
    <w:rsid w:val="003A6840"/>
    <w:rsid w:val="003E36B5"/>
    <w:rsid w:val="003F7A73"/>
    <w:rsid w:val="00431461"/>
    <w:rsid w:val="004326D3"/>
    <w:rsid w:val="00435895"/>
    <w:rsid w:val="0043677B"/>
    <w:rsid w:val="004556AF"/>
    <w:rsid w:val="00463A7F"/>
    <w:rsid w:val="00496C0C"/>
    <w:rsid w:val="004A15FE"/>
    <w:rsid w:val="00514690"/>
    <w:rsid w:val="0053169C"/>
    <w:rsid w:val="0054689B"/>
    <w:rsid w:val="00583770"/>
    <w:rsid w:val="00593571"/>
    <w:rsid w:val="005B684E"/>
    <w:rsid w:val="005C0D09"/>
    <w:rsid w:val="005D297F"/>
    <w:rsid w:val="005D4EA8"/>
    <w:rsid w:val="005D54CD"/>
    <w:rsid w:val="005E4EFB"/>
    <w:rsid w:val="005F3C26"/>
    <w:rsid w:val="00622993"/>
    <w:rsid w:val="0066163C"/>
    <w:rsid w:val="00672118"/>
    <w:rsid w:val="0068581B"/>
    <w:rsid w:val="006B7FE0"/>
    <w:rsid w:val="006F5640"/>
    <w:rsid w:val="00725956"/>
    <w:rsid w:val="00733D83"/>
    <w:rsid w:val="00735EF0"/>
    <w:rsid w:val="00743263"/>
    <w:rsid w:val="00763A48"/>
    <w:rsid w:val="00766F5C"/>
    <w:rsid w:val="007A4052"/>
    <w:rsid w:val="007B0828"/>
    <w:rsid w:val="007B0B86"/>
    <w:rsid w:val="007B2448"/>
    <w:rsid w:val="007B6958"/>
    <w:rsid w:val="007C2B78"/>
    <w:rsid w:val="007E24F5"/>
    <w:rsid w:val="00820654"/>
    <w:rsid w:val="0088498A"/>
    <w:rsid w:val="00885F2F"/>
    <w:rsid w:val="008941AF"/>
    <w:rsid w:val="008A5091"/>
    <w:rsid w:val="008C63AC"/>
    <w:rsid w:val="008F437A"/>
    <w:rsid w:val="009051CF"/>
    <w:rsid w:val="0091364F"/>
    <w:rsid w:val="0091427B"/>
    <w:rsid w:val="00916191"/>
    <w:rsid w:val="00974DA8"/>
    <w:rsid w:val="009800CE"/>
    <w:rsid w:val="00982C02"/>
    <w:rsid w:val="009849D4"/>
    <w:rsid w:val="00991EBC"/>
    <w:rsid w:val="0099447D"/>
    <w:rsid w:val="009C175A"/>
    <w:rsid w:val="009E6CC9"/>
    <w:rsid w:val="009F312B"/>
    <w:rsid w:val="00A01897"/>
    <w:rsid w:val="00A01EF5"/>
    <w:rsid w:val="00A14FB8"/>
    <w:rsid w:val="00A1551E"/>
    <w:rsid w:val="00A22CFF"/>
    <w:rsid w:val="00A31372"/>
    <w:rsid w:val="00A32034"/>
    <w:rsid w:val="00A71842"/>
    <w:rsid w:val="00A74197"/>
    <w:rsid w:val="00A901F1"/>
    <w:rsid w:val="00A9051D"/>
    <w:rsid w:val="00A95C19"/>
    <w:rsid w:val="00AB410A"/>
    <w:rsid w:val="00AB5680"/>
    <w:rsid w:val="00B04681"/>
    <w:rsid w:val="00B0685E"/>
    <w:rsid w:val="00B260A5"/>
    <w:rsid w:val="00B624F4"/>
    <w:rsid w:val="00BB76F6"/>
    <w:rsid w:val="00BC28BE"/>
    <w:rsid w:val="00BD7D7D"/>
    <w:rsid w:val="00BE69D3"/>
    <w:rsid w:val="00BF19B7"/>
    <w:rsid w:val="00C04299"/>
    <w:rsid w:val="00C60946"/>
    <w:rsid w:val="00C61D5D"/>
    <w:rsid w:val="00C73219"/>
    <w:rsid w:val="00C744EC"/>
    <w:rsid w:val="00C7772B"/>
    <w:rsid w:val="00C90FB1"/>
    <w:rsid w:val="00CB0134"/>
    <w:rsid w:val="00CC2D53"/>
    <w:rsid w:val="00CE0F75"/>
    <w:rsid w:val="00D305C2"/>
    <w:rsid w:val="00D55679"/>
    <w:rsid w:val="00D93F46"/>
    <w:rsid w:val="00DB32A6"/>
    <w:rsid w:val="00DC3CBE"/>
    <w:rsid w:val="00DD56D0"/>
    <w:rsid w:val="00DD7266"/>
    <w:rsid w:val="00DF74AB"/>
    <w:rsid w:val="00E03E4F"/>
    <w:rsid w:val="00E10DED"/>
    <w:rsid w:val="00E31B8F"/>
    <w:rsid w:val="00E56239"/>
    <w:rsid w:val="00E6540F"/>
    <w:rsid w:val="00EB131E"/>
    <w:rsid w:val="00EB5D3F"/>
    <w:rsid w:val="00ED5A83"/>
    <w:rsid w:val="00EE6303"/>
    <w:rsid w:val="00EF6C1B"/>
    <w:rsid w:val="00F11DEA"/>
    <w:rsid w:val="00F308E9"/>
    <w:rsid w:val="00F32343"/>
    <w:rsid w:val="00F40FE8"/>
    <w:rsid w:val="00F449CC"/>
    <w:rsid w:val="00F97F76"/>
    <w:rsid w:val="00FA5FD2"/>
    <w:rsid w:val="00FC6730"/>
    <w:rsid w:val="00FD229C"/>
    <w:rsid w:val="00FD630A"/>
    <w:rsid w:val="00FE48EA"/>
    <w:rsid w:val="48273D80"/>
    <w:rsid w:val="67A8108A"/>
    <w:rsid w:val="7CA4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2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1515</Words>
  <Characters>1577</Characters>
  <Lines>12</Lines>
  <Paragraphs>3</Paragraphs>
  <TotalTime>75</TotalTime>
  <ScaleCrop>false</ScaleCrop>
  <LinksUpToDate>false</LinksUpToDate>
  <CharactersWithSpaces>1702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2020-06-28T08:04:00Z</dcterms:created>
  <dc:creator>239C</dc:creator>
  <cp:lastModifiedBy>songxiao</cp:lastModifiedBy>
  <cp:lastPrinted>2026-09-17T06:36:00Z</cp:lastPrinted>
  <dcterms:modified xsi:type="dcterms:W3CDTF">2026-09-17T10:57:37Z</dcterms:modified>
  <cp:revision>201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eyJoZGlkIjoiNWU1MWE5ZjA2M2M5MGQxNTJkZWEyNmIyYjQwNTBjMDkiLCJ1c2VySWQiOiIyNzAxOTgxMDgifQ==</vt:lpwstr>
  </property>
  <property fmtid="{D5CDD505-2E9C-101B-9397-08002B2CF9AE}" pid="3" name="KSOProductBuildVer">
    <vt:lpwstr>2052-12.1.0.28792</vt:lpwstr>
  </property>
  <property fmtid="{D5CDD505-2E9C-101B-9397-08002B2CF9AE}" pid="4" name="ICV">
    <vt:lpwstr>33EE96110D094F85945BA86200888B09_13</vt:lpwstr>
  </property>
</Properties>
</file>