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2B4B9" w14:textId="77777777" w:rsidR="000C4E5C" w:rsidRDefault="00000000">
      <w:pPr>
        <w:spacing w:beforeLines="50" w:before="156" w:afterLines="50" w:after="156"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603619                             </w:t>
      </w:r>
      <w:r>
        <w:rPr>
          <w:rFonts w:hAnsi="宋体"/>
          <w:bCs/>
          <w:iCs/>
          <w:color w:val="000000"/>
          <w:sz w:val="24"/>
        </w:rPr>
        <w:t>证券简称：</w:t>
      </w:r>
      <w:r>
        <w:rPr>
          <w:color w:val="000000"/>
          <w:sz w:val="24"/>
        </w:rPr>
        <w:t>中曼石油</w:t>
      </w:r>
    </w:p>
    <w:p w14:paraId="7E683B17" w14:textId="77777777" w:rsidR="00BF7D97" w:rsidRDefault="00000000">
      <w:pPr>
        <w:spacing w:beforeLines="50" w:before="156" w:afterLines="50" w:after="156" w:line="400" w:lineRule="exact"/>
        <w:jc w:val="center"/>
        <w:rPr>
          <w:rFonts w:ascii="宋体" w:hAnsi="宋体" w:hint="eastAsia"/>
          <w:b/>
          <w:bCs/>
          <w:iCs/>
          <w:color w:val="000000"/>
          <w:sz w:val="32"/>
          <w:szCs w:val="32"/>
        </w:rPr>
      </w:pPr>
      <w:r>
        <w:rPr>
          <w:rFonts w:ascii="宋体" w:hAnsi="宋体"/>
          <w:b/>
          <w:bCs/>
          <w:iCs/>
          <w:color w:val="000000"/>
          <w:sz w:val="32"/>
          <w:szCs w:val="32"/>
        </w:rPr>
        <w:t>中曼石油天然气集团股份有限公司</w:t>
      </w:r>
    </w:p>
    <w:p w14:paraId="06FBD987" w14:textId="6A273D51" w:rsidR="000C4E5C" w:rsidRDefault="00000000">
      <w:pPr>
        <w:spacing w:beforeLines="50" w:before="156" w:afterLines="50" w:after="156" w:line="400" w:lineRule="exact"/>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p w14:paraId="06D4CBFD" w14:textId="098594C7" w:rsidR="000C4E5C" w:rsidRDefault="00000000">
      <w:pPr>
        <w:spacing w:line="400" w:lineRule="exact"/>
        <w:rPr>
          <w:bCs/>
          <w:iCs/>
          <w:color w:val="000000"/>
          <w:sz w:val="24"/>
        </w:rPr>
      </w:pPr>
      <w:r>
        <w:rPr>
          <w:rFonts w:ascii="宋体" w:hAnsi="宋体" w:hint="eastAsia"/>
          <w:bCs/>
          <w:iCs/>
          <w:color w:val="000000"/>
          <w:sz w:val="24"/>
        </w:rPr>
        <w:t xml:space="preserve">                                                     </w:t>
      </w:r>
      <w:r w:rsidR="003E5752" w:rsidRPr="003E5752">
        <w:rPr>
          <w:rFonts w:ascii="宋体" w:hAnsi="宋体"/>
          <w:bCs/>
          <w:iCs/>
          <w:color w:val="000000"/>
          <w:sz w:val="24"/>
        </w:rPr>
        <w:t>编号：2026-00</w:t>
      </w:r>
      <w:r w:rsidR="003E5752">
        <w:rPr>
          <w:rFonts w:ascii="宋体" w:hAnsi="宋体" w:hint="eastAsia"/>
          <w:bCs/>
          <w:iCs/>
          <w:color w:val="000000"/>
          <w:sz w:val="24"/>
        </w:rPr>
        <w:t>2</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0C4E5C" w14:paraId="1AB13998" w14:textId="77777777">
        <w:tc>
          <w:tcPr>
            <w:tcW w:w="1908" w:type="dxa"/>
            <w:tcBorders>
              <w:top w:val="single" w:sz="4" w:space="0" w:color="auto"/>
              <w:left w:val="single" w:sz="4" w:space="0" w:color="auto"/>
              <w:bottom w:val="single" w:sz="4" w:space="0" w:color="auto"/>
              <w:right w:val="single" w:sz="4" w:space="0" w:color="auto"/>
            </w:tcBorders>
          </w:tcPr>
          <w:p w14:paraId="2CA26860" w14:textId="77777777" w:rsidR="000C4E5C" w:rsidRDefault="00000000">
            <w:pPr>
              <w:spacing w:line="420" w:lineRule="exact"/>
              <w:rPr>
                <w:bCs/>
                <w:iCs/>
                <w:color w:val="000000"/>
                <w:kern w:val="0"/>
                <w:sz w:val="24"/>
              </w:rPr>
            </w:pPr>
            <w:r>
              <w:rPr>
                <w:rFonts w:hAnsi="宋体"/>
                <w:bCs/>
                <w:iCs/>
                <w:color w:val="000000"/>
                <w:kern w:val="0"/>
                <w:sz w:val="24"/>
              </w:rPr>
              <w:t>投资者关系活动类别</w:t>
            </w:r>
          </w:p>
          <w:p w14:paraId="6D8AFEF1" w14:textId="77777777" w:rsidR="000C4E5C" w:rsidRDefault="000C4E5C">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08635C1D" w14:textId="77777777" w:rsidR="000C4E5C" w:rsidRDefault="00000000">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66D1820D" w14:textId="77777777" w:rsidR="000C4E5C" w:rsidRDefault="0000000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0E770B6F" w14:textId="77777777" w:rsidR="000C4E5C" w:rsidRDefault="0000000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4671E6D4" w14:textId="4D67EC2C" w:rsidR="000C4E5C" w:rsidRDefault="00000000" w:rsidP="009B7AA4">
            <w:pPr>
              <w:tabs>
                <w:tab w:val="left" w:pos="3045"/>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sidR="009B7AA4">
              <w:rPr>
                <w:rFonts w:hAnsi="宋体" w:hint="eastAsia"/>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其他</w:t>
            </w:r>
          </w:p>
        </w:tc>
      </w:tr>
      <w:tr w:rsidR="000C4E5C" w14:paraId="33DC7659" w14:textId="77777777">
        <w:tc>
          <w:tcPr>
            <w:tcW w:w="1908" w:type="dxa"/>
            <w:tcBorders>
              <w:top w:val="single" w:sz="4" w:space="0" w:color="auto"/>
              <w:left w:val="single" w:sz="4" w:space="0" w:color="auto"/>
              <w:bottom w:val="single" w:sz="4" w:space="0" w:color="auto"/>
              <w:right w:val="single" w:sz="4" w:space="0" w:color="auto"/>
            </w:tcBorders>
          </w:tcPr>
          <w:p w14:paraId="1BFB493F" w14:textId="77777777" w:rsidR="000C4E5C" w:rsidRDefault="00000000">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tcPr>
          <w:p w14:paraId="1235C53D" w14:textId="450F5CB5" w:rsidR="000C4E5C" w:rsidRDefault="00212172">
            <w:pPr>
              <w:spacing w:line="420" w:lineRule="exact"/>
              <w:rPr>
                <w:bCs/>
                <w:iCs/>
                <w:color w:val="000000"/>
                <w:sz w:val="24"/>
                <w:lang w:val="en-GB"/>
              </w:rPr>
            </w:pPr>
            <w:r>
              <w:rPr>
                <w:rFonts w:hint="eastAsia"/>
                <w:bCs/>
                <w:iCs/>
                <w:color w:val="000000"/>
                <w:sz w:val="24"/>
              </w:rPr>
              <w:t>2026</w:t>
            </w:r>
            <w:r>
              <w:rPr>
                <w:rFonts w:hint="eastAsia"/>
                <w:bCs/>
                <w:iCs/>
                <w:color w:val="000000"/>
                <w:sz w:val="24"/>
              </w:rPr>
              <w:t>年</w:t>
            </w:r>
            <w:r w:rsidR="00E97051" w:rsidRPr="00E97051">
              <w:rPr>
                <w:bCs/>
                <w:iCs/>
                <w:color w:val="000000"/>
                <w:sz w:val="24"/>
              </w:rPr>
              <w:t>9</w:t>
            </w:r>
            <w:r w:rsidR="00E97051" w:rsidRPr="00E97051">
              <w:rPr>
                <w:bCs/>
                <w:iCs/>
                <w:color w:val="000000"/>
                <w:sz w:val="24"/>
              </w:rPr>
              <w:t>月</w:t>
            </w:r>
            <w:r w:rsidR="00E97051" w:rsidRPr="00E97051">
              <w:rPr>
                <w:bCs/>
                <w:iCs/>
                <w:color w:val="000000"/>
                <w:sz w:val="24"/>
              </w:rPr>
              <w:t>1</w:t>
            </w:r>
            <w:r w:rsidR="00E97051">
              <w:rPr>
                <w:rFonts w:hint="eastAsia"/>
                <w:bCs/>
                <w:iCs/>
                <w:color w:val="000000"/>
                <w:sz w:val="24"/>
              </w:rPr>
              <w:t>6</w:t>
            </w:r>
            <w:r w:rsidR="00E97051" w:rsidRPr="00E97051">
              <w:rPr>
                <w:bCs/>
                <w:iCs/>
                <w:color w:val="000000"/>
                <w:sz w:val="24"/>
              </w:rPr>
              <w:t>日通过全景网投资者关系互动平台参与</w:t>
            </w:r>
            <w:r>
              <w:rPr>
                <w:rFonts w:hint="eastAsia"/>
                <w:bCs/>
                <w:iCs/>
                <w:color w:val="000000"/>
                <w:sz w:val="24"/>
              </w:rPr>
              <w:t>“</w:t>
            </w:r>
            <w:r w:rsidRPr="00E97051">
              <w:rPr>
                <w:bCs/>
                <w:iCs/>
                <w:color w:val="000000"/>
                <w:sz w:val="24"/>
              </w:rPr>
              <w:t>202</w:t>
            </w:r>
            <w:r>
              <w:rPr>
                <w:rFonts w:hint="eastAsia"/>
                <w:bCs/>
                <w:iCs/>
                <w:color w:val="000000"/>
                <w:sz w:val="24"/>
              </w:rPr>
              <w:t>6</w:t>
            </w:r>
            <w:r w:rsidRPr="00E97051">
              <w:rPr>
                <w:bCs/>
                <w:iCs/>
                <w:color w:val="000000"/>
                <w:sz w:val="24"/>
              </w:rPr>
              <w:t>年上海辖区上市公司集体接待日暨中报业绩说明会活动</w:t>
            </w:r>
            <w:r>
              <w:rPr>
                <w:rFonts w:hint="eastAsia"/>
                <w:bCs/>
                <w:iCs/>
                <w:color w:val="000000"/>
                <w:sz w:val="24"/>
              </w:rPr>
              <w:t>”</w:t>
            </w:r>
            <w:r w:rsidR="00E97051" w:rsidRPr="00E97051">
              <w:rPr>
                <w:bCs/>
                <w:iCs/>
                <w:color w:val="000000"/>
                <w:sz w:val="24"/>
              </w:rPr>
              <w:t>的投资者</w:t>
            </w:r>
          </w:p>
        </w:tc>
      </w:tr>
      <w:tr w:rsidR="000C4E5C" w14:paraId="4920F3E4" w14:textId="77777777">
        <w:tc>
          <w:tcPr>
            <w:tcW w:w="1908" w:type="dxa"/>
            <w:tcBorders>
              <w:top w:val="single" w:sz="4" w:space="0" w:color="auto"/>
              <w:left w:val="single" w:sz="4" w:space="0" w:color="auto"/>
              <w:bottom w:val="single" w:sz="4" w:space="0" w:color="auto"/>
              <w:right w:val="single" w:sz="4" w:space="0" w:color="auto"/>
            </w:tcBorders>
          </w:tcPr>
          <w:p w14:paraId="2BB50F39" w14:textId="77777777" w:rsidR="000C4E5C" w:rsidRDefault="00000000">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5C15BDD8" w14:textId="6B91438D" w:rsidR="000C4E5C" w:rsidRDefault="00000000">
            <w:pPr>
              <w:spacing w:line="420" w:lineRule="exact"/>
              <w:rPr>
                <w:bCs/>
                <w:iCs/>
                <w:color w:val="000000"/>
                <w:sz w:val="24"/>
              </w:rPr>
            </w:pPr>
            <w:r>
              <w:rPr>
                <w:bCs/>
                <w:iCs/>
                <w:color w:val="000000"/>
                <w:sz w:val="24"/>
              </w:rPr>
              <w:t>2026</w:t>
            </w:r>
            <w:r>
              <w:rPr>
                <w:bCs/>
                <w:iCs/>
                <w:color w:val="000000"/>
                <w:sz w:val="24"/>
              </w:rPr>
              <w:t>年</w:t>
            </w:r>
            <w:r>
              <w:rPr>
                <w:bCs/>
                <w:iCs/>
                <w:color w:val="000000"/>
                <w:sz w:val="24"/>
              </w:rPr>
              <w:t>9</w:t>
            </w:r>
            <w:r>
              <w:rPr>
                <w:bCs/>
                <w:iCs/>
                <w:color w:val="000000"/>
                <w:sz w:val="24"/>
              </w:rPr>
              <w:t>月</w:t>
            </w:r>
            <w:r>
              <w:rPr>
                <w:bCs/>
                <w:iCs/>
                <w:color w:val="000000"/>
                <w:sz w:val="24"/>
              </w:rPr>
              <w:t>16</w:t>
            </w:r>
            <w:r>
              <w:rPr>
                <w:bCs/>
                <w:iCs/>
                <w:color w:val="000000"/>
                <w:sz w:val="24"/>
              </w:rPr>
              <w:t>日</w:t>
            </w:r>
            <w:proofErr w:type="gramStart"/>
            <w:r>
              <w:rPr>
                <w:bCs/>
                <w:iCs/>
                <w:color w:val="000000"/>
                <w:sz w:val="24"/>
              </w:rPr>
              <w:t>(</w:t>
            </w:r>
            <w:r>
              <w:rPr>
                <w:bCs/>
                <w:iCs/>
                <w:color w:val="000000"/>
                <w:sz w:val="24"/>
              </w:rPr>
              <w:t>周三</w:t>
            </w:r>
            <w:r>
              <w:rPr>
                <w:bCs/>
                <w:iCs/>
                <w:color w:val="000000"/>
                <w:sz w:val="24"/>
              </w:rPr>
              <w:t>)</w:t>
            </w:r>
            <w:proofErr w:type="gramEnd"/>
            <w:r>
              <w:rPr>
                <w:bCs/>
                <w:iCs/>
                <w:color w:val="000000"/>
                <w:sz w:val="24"/>
              </w:rPr>
              <w:t>下午</w:t>
            </w:r>
            <w:r>
              <w:rPr>
                <w:bCs/>
                <w:iCs/>
                <w:color w:val="000000"/>
                <w:sz w:val="24"/>
              </w:rPr>
              <w:t>15:00~17:00</w:t>
            </w:r>
          </w:p>
        </w:tc>
      </w:tr>
      <w:tr w:rsidR="000C4E5C" w14:paraId="0DE20C6F" w14:textId="77777777">
        <w:tc>
          <w:tcPr>
            <w:tcW w:w="1908" w:type="dxa"/>
            <w:tcBorders>
              <w:top w:val="single" w:sz="4" w:space="0" w:color="auto"/>
              <w:left w:val="single" w:sz="4" w:space="0" w:color="auto"/>
              <w:bottom w:val="single" w:sz="4" w:space="0" w:color="auto"/>
              <w:right w:val="single" w:sz="4" w:space="0" w:color="auto"/>
            </w:tcBorders>
          </w:tcPr>
          <w:p w14:paraId="1039454D" w14:textId="77777777" w:rsidR="000C4E5C" w:rsidRDefault="00000000">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00245BCA" w14:textId="77777777" w:rsidR="000C4E5C" w:rsidRDefault="00000000">
            <w:pPr>
              <w:spacing w:line="420" w:lineRule="exact"/>
              <w:rPr>
                <w:bCs/>
                <w:iCs/>
                <w:color w:val="000000"/>
                <w:sz w:val="24"/>
              </w:rPr>
            </w:pPr>
            <w:r>
              <w:rPr>
                <w:rFonts w:ascii="宋体" w:hAnsi="宋体"/>
                <w:sz w:val="24"/>
              </w:rPr>
              <w:t>公司通过</w:t>
            </w:r>
            <w:r>
              <w:rPr>
                <w:rFonts w:ascii="宋体" w:hAnsi="宋体" w:hint="eastAsia"/>
                <w:bCs/>
                <w:sz w:val="24"/>
              </w:rPr>
              <w:t>全景网“</w:t>
            </w:r>
            <w:r>
              <w:rPr>
                <w:rFonts w:ascii="宋体" w:hAnsi="宋体" w:cs="宋体"/>
                <w:sz w:val="24"/>
              </w:rPr>
              <w:t>投资者关系互动平台</w:t>
            </w:r>
            <w:r>
              <w:rPr>
                <w:rFonts w:ascii="宋体" w:hAnsi="宋体" w:hint="eastAsia"/>
                <w:bCs/>
                <w:sz w:val="24"/>
              </w:rPr>
              <w:t>”（http</w:t>
            </w:r>
            <w:r>
              <w:rPr>
                <w:rFonts w:ascii="宋体" w:hAnsi="宋体"/>
                <w:bCs/>
                <w:sz w:val="24"/>
              </w:rPr>
              <w:t>s</w:t>
            </w:r>
            <w:r>
              <w:rPr>
                <w:rFonts w:ascii="宋体" w:hAnsi="宋体" w:hint="eastAsia"/>
                <w:bCs/>
                <w:sz w:val="24"/>
              </w:rPr>
              <w:t>://ir.p5w.net）采用网络远程的方式</w:t>
            </w:r>
            <w:r>
              <w:rPr>
                <w:rFonts w:ascii="宋体" w:hAnsi="宋体"/>
                <w:sz w:val="24"/>
              </w:rPr>
              <w:t>召开</w:t>
            </w:r>
            <w:r>
              <w:rPr>
                <w:rFonts w:ascii="宋体" w:hAnsi="宋体" w:hint="eastAsia"/>
                <w:sz w:val="24"/>
              </w:rPr>
              <w:t>业绩</w:t>
            </w:r>
            <w:r>
              <w:rPr>
                <w:rFonts w:ascii="宋体" w:hAnsi="宋体"/>
                <w:sz w:val="24"/>
              </w:rPr>
              <w:t>说明会</w:t>
            </w:r>
          </w:p>
        </w:tc>
      </w:tr>
      <w:tr w:rsidR="000C4E5C" w14:paraId="1D436A53" w14:textId="77777777">
        <w:tc>
          <w:tcPr>
            <w:tcW w:w="1908" w:type="dxa"/>
            <w:tcBorders>
              <w:top w:val="single" w:sz="4" w:space="0" w:color="auto"/>
              <w:left w:val="single" w:sz="4" w:space="0" w:color="auto"/>
              <w:bottom w:val="single" w:sz="4" w:space="0" w:color="auto"/>
              <w:right w:val="single" w:sz="4" w:space="0" w:color="auto"/>
            </w:tcBorders>
          </w:tcPr>
          <w:p w14:paraId="3403ACB5" w14:textId="77777777" w:rsidR="000C4E5C" w:rsidRDefault="00000000">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0C056E4F" w14:textId="3ED97341" w:rsidR="000C4E5C" w:rsidRDefault="00000000">
            <w:pPr>
              <w:spacing w:line="420" w:lineRule="exact"/>
              <w:rPr>
                <w:rFonts w:ascii="宋体" w:hAnsi="宋体" w:hint="eastAsia"/>
                <w:bCs/>
                <w:sz w:val="24"/>
              </w:rPr>
            </w:pPr>
            <w:r>
              <w:rPr>
                <w:rFonts w:ascii="宋体" w:hAnsi="宋体"/>
                <w:bCs/>
                <w:sz w:val="24"/>
              </w:rPr>
              <w:t>1、董事、</w:t>
            </w:r>
            <w:r w:rsidR="007F6671">
              <w:rPr>
                <w:rFonts w:ascii="宋体" w:hAnsi="宋体" w:hint="eastAsia"/>
                <w:bCs/>
                <w:sz w:val="24"/>
              </w:rPr>
              <w:t>总裁</w:t>
            </w:r>
            <w:r w:rsidR="00212172">
              <w:rPr>
                <w:rFonts w:ascii="宋体" w:hAnsi="宋体" w:hint="eastAsia"/>
                <w:bCs/>
                <w:sz w:val="24"/>
              </w:rPr>
              <w:t>：</w:t>
            </w:r>
            <w:r>
              <w:rPr>
                <w:rFonts w:ascii="宋体" w:hAnsi="宋体"/>
                <w:bCs/>
                <w:sz w:val="24"/>
              </w:rPr>
              <w:t>李世光</w:t>
            </w:r>
          </w:p>
          <w:p w14:paraId="47658E7C" w14:textId="37276858" w:rsidR="000C4E5C" w:rsidRDefault="00000000">
            <w:pPr>
              <w:spacing w:line="420" w:lineRule="exact"/>
              <w:rPr>
                <w:rFonts w:ascii="宋体" w:hAnsi="宋体" w:hint="eastAsia"/>
                <w:bCs/>
                <w:sz w:val="24"/>
              </w:rPr>
            </w:pPr>
            <w:r>
              <w:rPr>
                <w:rFonts w:ascii="宋体" w:hAnsi="宋体"/>
                <w:bCs/>
                <w:sz w:val="24"/>
              </w:rPr>
              <w:t>2、财务总监</w:t>
            </w:r>
            <w:r w:rsidR="00212172">
              <w:rPr>
                <w:rFonts w:ascii="宋体" w:hAnsi="宋体" w:hint="eastAsia"/>
                <w:bCs/>
                <w:sz w:val="24"/>
              </w:rPr>
              <w:t>：</w:t>
            </w:r>
            <w:r>
              <w:rPr>
                <w:rFonts w:ascii="宋体" w:hAnsi="宋体"/>
                <w:bCs/>
                <w:sz w:val="24"/>
              </w:rPr>
              <w:t>邱明亮</w:t>
            </w:r>
          </w:p>
          <w:p w14:paraId="1E181752" w14:textId="7DDAC8BD" w:rsidR="000C4E5C" w:rsidRDefault="00000000">
            <w:pPr>
              <w:spacing w:line="420" w:lineRule="exact"/>
              <w:rPr>
                <w:rFonts w:ascii="宋体" w:hAnsi="宋体" w:hint="eastAsia"/>
                <w:bCs/>
                <w:sz w:val="24"/>
              </w:rPr>
            </w:pPr>
            <w:r>
              <w:rPr>
                <w:rFonts w:ascii="宋体" w:hAnsi="宋体"/>
                <w:bCs/>
                <w:sz w:val="24"/>
              </w:rPr>
              <w:t>3、董事会</w:t>
            </w:r>
            <w:proofErr w:type="gramStart"/>
            <w:r>
              <w:rPr>
                <w:rFonts w:ascii="宋体" w:hAnsi="宋体"/>
                <w:bCs/>
                <w:sz w:val="24"/>
              </w:rPr>
              <w:t>秘书</w:t>
            </w:r>
            <w:r w:rsidR="00212172">
              <w:rPr>
                <w:rFonts w:ascii="宋体" w:hAnsi="宋体" w:hint="eastAsia"/>
                <w:bCs/>
                <w:sz w:val="24"/>
              </w:rPr>
              <w:t>:</w:t>
            </w:r>
            <w:proofErr w:type="gramEnd"/>
            <w:r>
              <w:rPr>
                <w:rFonts w:ascii="宋体" w:hAnsi="宋体"/>
                <w:bCs/>
                <w:sz w:val="24"/>
              </w:rPr>
              <w:t>石明鑫</w:t>
            </w:r>
          </w:p>
        </w:tc>
      </w:tr>
      <w:tr w:rsidR="000C4E5C" w14:paraId="62DAB099" w14:textId="77777777">
        <w:tc>
          <w:tcPr>
            <w:tcW w:w="1908" w:type="dxa"/>
            <w:tcBorders>
              <w:top w:val="single" w:sz="4" w:space="0" w:color="auto"/>
              <w:left w:val="single" w:sz="4" w:space="0" w:color="auto"/>
              <w:bottom w:val="single" w:sz="4" w:space="0" w:color="auto"/>
              <w:right w:val="single" w:sz="4" w:space="0" w:color="auto"/>
            </w:tcBorders>
            <w:vAlign w:val="center"/>
          </w:tcPr>
          <w:p w14:paraId="3E52BB35" w14:textId="77777777" w:rsidR="000C4E5C" w:rsidRDefault="00000000">
            <w:pPr>
              <w:spacing w:line="420" w:lineRule="exact"/>
              <w:rPr>
                <w:bCs/>
                <w:iCs/>
                <w:color w:val="000000"/>
                <w:kern w:val="0"/>
                <w:sz w:val="24"/>
              </w:rPr>
            </w:pPr>
            <w:r>
              <w:rPr>
                <w:rFonts w:hAnsi="宋体"/>
                <w:bCs/>
                <w:iCs/>
                <w:color w:val="000000"/>
                <w:kern w:val="0"/>
                <w:sz w:val="24"/>
              </w:rPr>
              <w:t>投资者关系活动主要内容介绍</w:t>
            </w:r>
          </w:p>
          <w:p w14:paraId="06E4BDEB" w14:textId="77777777" w:rsidR="000C4E5C" w:rsidRDefault="000C4E5C">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105695CC" w14:textId="77777777" w:rsidR="000C4E5C" w:rsidRDefault="00000000" w:rsidP="00D87043">
            <w:pPr>
              <w:spacing w:line="360" w:lineRule="auto"/>
              <w:ind w:firstLineChars="200" w:firstLine="482"/>
              <w:jc w:val="center"/>
              <w:rPr>
                <w:rFonts w:ascii="宋体" w:hAnsi="宋体" w:hint="eastAsia"/>
                <w:b/>
                <w:sz w:val="24"/>
              </w:rPr>
            </w:pPr>
            <w:r>
              <w:rPr>
                <w:rFonts w:ascii="宋体" w:hAnsi="宋体"/>
                <w:b/>
                <w:sz w:val="24"/>
              </w:rPr>
              <w:t>投资者提出的问题及公司回复情况</w:t>
            </w:r>
          </w:p>
          <w:p w14:paraId="54039869" w14:textId="5C29ECB8"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你好李总，想咨询公司原油套期保值的策略：公司套保是固定比例套保，还是会根据油价高低动态调整？请问在油价低位时，公司会不会控制空头头寸，避免错失油价上涨收益；在油价高位时，再适度加大套保锁定利润？公司如何平衡对冲风险与保留上行收益？当前套保比例大概多少？</w:t>
            </w:r>
          </w:p>
          <w:p w14:paraId="28FACC1D"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开展原油套期保值业务，旨在应对国际油价波动风险，保障生产经营稳健运行。公司采用部分产量锁定的套期保值策略，现阶段套保规模主要参照库存和温宿油田产量合理测算，目前套保比例审慎可控，且会根据产销情况、市场情况及油价动态调整头寸。谢谢！</w:t>
            </w:r>
          </w:p>
          <w:p w14:paraId="38753174" w14:textId="77777777"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 xml:space="preserve">2、李总您好，有以下三个问题感谢解答！ </w:t>
            </w:r>
            <w:r>
              <w:rPr>
                <w:rFonts w:ascii="宋体" w:hAnsi="宋体"/>
                <w:b/>
                <w:sz w:val="24"/>
                <w:szCs w:val="24"/>
              </w:rPr>
              <w:br/>
              <w:t xml:space="preserve"> 1、公司的石油存货主要集中在什么地区，以什么方式存储，自行建造储油罐吗？ </w:t>
            </w:r>
            <w:r>
              <w:rPr>
                <w:rFonts w:ascii="宋体" w:hAnsi="宋体"/>
                <w:b/>
                <w:sz w:val="24"/>
                <w:szCs w:val="24"/>
              </w:rPr>
              <w:br/>
            </w:r>
            <w:r>
              <w:rPr>
                <w:rFonts w:ascii="宋体" w:hAnsi="宋体"/>
                <w:b/>
                <w:sz w:val="24"/>
                <w:szCs w:val="24"/>
              </w:rPr>
              <w:lastRenderedPageBreak/>
              <w:t xml:space="preserve"> 2、哈萨克斯坦坚戈、岸边原油计划主要通过里海管道外销吗？还是绕道使用中哈中亚石油天然气管道？  </w:t>
            </w:r>
            <w:r>
              <w:rPr>
                <w:rFonts w:ascii="宋体" w:hAnsi="宋体"/>
                <w:b/>
                <w:sz w:val="24"/>
                <w:szCs w:val="24"/>
              </w:rPr>
              <w:br/>
              <w:t xml:space="preserve"> 3、贵司投资天诚重科基金的目的是什么，会参与投资决策吗，天诚重科基金主要投资哪类企业？</w:t>
            </w:r>
          </w:p>
          <w:p w14:paraId="02F6FC78"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1、公司原油存货主要随各油气田产销节奏形成，主要存放在公司温宿联合站和租赁的储罐。2、坚戈、岸边原油内销主要通过哈萨克斯坦国内管道，如外销主要通过KTO管道。3、公司以自有资金认购天诚重科（河南）科技成果转化创业投资基金份额1,000万元（占10%），系在主业稳健前提下适度开展新兴科技产业探索；公司作为有限合伙人不执行合伙事务、不参与投资及退出决策，基金主要投向早期科技成果转化项目。详见公司于2026年8月11日披露的相关公告。谢谢！</w:t>
            </w:r>
          </w:p>
          <w:p w14:paraId="58404C74" w14:textId="77777777"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3、公司原油套期保值头寸审批权限到哪个层级？在石油套保的背景下，公司未来的石油大宗产销主要通过长协、点价、期货均价还是其他方式？内销价格会遭受窗口指导吗？</w:t>
            </w:r>
          </w:p>
          <w:p w14:paraId="35C1D536"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开展期货和衍生品套期保值业务，年度套保计划及额度由董事会审议；公司目前的原油销售定价遵循市场化原则，主要依据国际原油价格、运输方式、国内市场供需情况等多种因素确定。关于长协、点价等销售方式，公司将根据原油产量、具体客户情况开展深入研究和充分论证后再行决策，谢谢！</w:t>
            </w:r>
          </w:p>
          <w:p w14:paraId="681D45A4" w14:textId="77777777"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4、中曼哈萨克斯坦岸边油田的内销和出口比例是多少，内销和出口价格是多少？</w:t>
            </w:r>
          </w:p>
          <w:p w14:paraId="46059A4A"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您好！岸边油田目前仍处于勘探评价及试油试采阶段，尚未形成稳定的销售渠道和客户。公司将根据项目进展、市场环境统筹安排后续销售工作。谢谢！</w:t>
            </w:r>
          </w:p>
          <w:p w14:paraId="5FFCF06F" w14:textId="77777777"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5、希望公司每年的分红能拿一半用于股票回购然后注销，这样增厚每一股的收益，让公司每一股都充满稀缺价值</w:t>
            </w:r>
          </w:p>
          <w:p w14:paraId="2D468652" w14:textId="015AEEF0" w:rsidR="000C4E5C" w:rsidRDefault="00000000" w:rsidP="00E826E4">
            <w:pPr>
              <w:pStyle w:val="Style6"/>
              <w:spacing w:line="360" w:lineRule="auto"/>
              <w:ind w:firstLineChars="0" w:firstLine="0"/>
              <w:rPr>
                <w:rFonts w:ascii="宋体" w:hAnsi="宋体" w:hint="eastAsia"/>
                <w:sz w:val="24"/>
                <w:szCs w:val="24"/>
              </w:rPr>
            </w:pPr>
            <w:r>
              <w:rPr>
                <w:rFonts w:ascii="宋体" w:hAnsi="宋体"/>
                <w:sz w:val="24"/>
                <w:szCs w:val="24"/>
              </w:rPr>
              <w:t>您好！感谢您的建议。公司会综合考量股东回报需求、经营发展、资金安排等各项因素，积极研究和落实股东回报安排，持续维护</w:t>
            </w:r>
            <w:r>
              <w:rPr>
                <w:rFonts w:ascii="宋体" w:hAnsi="宋体"/>
                <w:sz w:val="24"/>
                <w:szCs w:val="24"/>
              </w:rPr>
              <w:lastRenderedPageBreak/>
              <w:t>广大股东的利益。谢谢！</w:t>
            </w:r>
          </w:p>
          <w:p w14:paraId="059BCB44" w14:textId="246E372D"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6</w:t>
            </w:r>
            <w:r>
              <w:rPr>
                <w:rFonts w:ascii="宋体" w:hAnsi="宋体"/>
                <w:b/>
                <w:sz w:val="24"/>
                <w:szCs w:val="24"/>
              </w:rPr>
              <w:t>、在业务修复方面，Q2原油产销率已回升至86，坚戈油田产量增近28。但至今仍有9支井队停工，公司无撤回计划。新签的埃及、印度钻井及装备订单能否快速弥补收入缺口？在EBN/MF区块尚处地震勘探阶段（预计2028年才产出）的背景下，公司全年原油产量和资本开支目标能否如期完成？</w:t>
            </w:r>
          </w:p>
          <w:p w14:paraId="44D1988A"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您好！Iraq停工井队目前仍处在待命状态，复工时间存在不确定性。公司正按年初生产目标推进钻井作业与增产作业措施，力争按照年初计划落实。谢谢！</w:t>
            </w:r>
          </w:p>
          <w:p w14:paraId="4856DEB5" w14:textId="571261B8"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7</w:t>
            </w:r>
            <w:r>
              <w:rPr>
                <w:rFonts w:ascii="宋体" w:hAnsi="宋体"/>
                <w:b/>
                <w:sz w:val="24"/>
                <w:szCs w:val="24"/>
              </w:rPr>
              <w:t>、公司二季报披露在伊项目（EBN东巴北区块）受战争影响停工，8月份已有一只钻井队恢复开工。请问李总，目前，公司在伊项目EBN东巴北区块）停工情况是否进一步好转，复工钻井队是否进一步增加？</w:t>
            </w:r>
          </w:p>
          <w:p w14:paraId="47AA92DB"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您好！截至目前，公司前期在Iraq市场停工井队尚处于停工待命状态，复工时间存在不确定性。公司正积极与甲方沟通，争取尽快复工。谢谢！</w:t>
            </w:r>
          </w:p>
          <w:p w14:paraId="75D0B1DF" w14:textId="282F9156"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8</w:t>
            </w:r>
            <w:r>
              <w:rPr>
                <w:rFonts w:ascii="宋体" w:hAnsi="宋体"/>
                <w:b/>
                <w:sz w:val="24"/>
                <w:szCs w:val="24"/>
              </w:rPr>
              <w:t>、6月之后塔河炼厂的产能逐步恢复，公司二季报也体现出一季度积压的库存在不断消化。下半年中国放开成品油出口，开始大幅增加原油进口。请问邱总，在半年市场普遍缺油的情况下，公司7、8月份的原油销售情况如何？以及之前公司库存的大约9万吨油，是否可以在三、四两个季度全部消化。</w:t>
            </w:r>
          </w:p>
          <w:p w14:paraId="6244C1CE"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您好！公司在持续关注国际油价走势与市场需求情况，不断拓宽销售渠道和客户，加大去库存力度。谢谢！</w:t>
            </w:r>
          </w:p>
          <w:p w14:paraId="02CBD72D" w14:textId="0597D66B"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9</w:t>
            </w:r>
            <w:r>
              <w:rPr>
                <w:rFonts w:ascii="宋体" w:hAnsi="宋体"/>
                <w:b/>
                <w:sz w:val="24"/>
                <w:szCs w:val="24"/>
              </w:rPr>
              <w:t>、你好我是中曼石油的投资者，你们的石油价格变动是不是和国际原油价格变动同步</w:t>
            </w:r>
          </w:p>
          <w:p w14:paraId="610A9CEE"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原油销售定价遵循市场化原则，主要依据国际原油价格、运输方式、市场供需情况等多种因素确定，与国际原油价格走势相关。实际结算价格还会受品质差异、运输物流、内外销结构及当地市场情况等因素影响。谢谢！</w:t>
            </w:r>
          </w:p>
          <w:p w14:paraId="6F335085" w14:textId="5F7F3BD0"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lastRenderedPageBreak/>
              <w:t>1</w:t>
            </w:r>
            <w:r w:rsidR="00DD4380">
              <w:rPr>
                <w:rFonts w:ascii="宋体" w:hAnsi="宋体" w:hint="eastAsia"/>
                <w:b/>
                <w:sz w:val="24"/>
                <w:szCs w:val="24"/>
              </w:rPr>
              <w:t>0</w:t>
            </w:r>
            <w:r>
              <w:rPr>
                <w:rFonts w:ascii="宋体" w:hAnsi="宋体"/>
                <w:b/>
                <w:sz w:val="24"/>
                <w:szCs w:val="24"/>
              </w:rPr>
              <w:t>、三个问题烦请各位领导跟广大投资者做个</w:t>
            </w:r>
            <w:proofErr w:type="gramStart"/>
            <w:r>
              <w:rPr>
                <w:rFonts w:ascii="宋体" w:hAnsi="宋体"/>
                <w:b/>
                <w:sz w:val="24"/>
                <w:szCs w:val="24"/>
              </w:rPr>
              <w:t>回复.</w:t>
            </w:r>
            <w:proofErr w:type="gramEnd"/>
            <w:r>
              <w:rPr>
                <w:rFonts w:ascii="宋体" w:hAnsi="宋体"/>
                <w:b/>
                <w:sz w:val="24"/>
                <w:szCs w:val="24"/>
              </w:rPr>
              <w:t>1.股东朱逢学清仓式减持的原因是什么？公司的第一大股东控股股东是否有增持计划。2.伊的具体的业务能否详细介绍一下目前的情况，暂停的工队是否近期有复工，包括伊的地区公司的油田目前投产情况，</w:t>
            </w:r>
          </w:p>
          <w:p w14:paraId="1EA4EB0A"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您好！1.朱逢学已不在公司担任任何职务，本次减持属于其个人财务安排及自主决策行为。控股股东目前暂无明确增持计划；如后续有相关计划，将及时履行信息披露义务。</w:t>
            </w:r>
            <w:r>
              <w:rPr>
                <w:rFonts w:ascii="宋体" w:hAnsi="宋体"/>
                <w:sz w:val="24"/>
                <w:szCs w:val="24"/>
              </w:rPr>
              <w:br/>
              <w:t>2.截至目前，公司在Iraq停工井队尙处于待命状态，复工时间存在不确定性。公司正积极与甲方沟通，争取Iraq完井业务尽快复工。EBN、MF目前处于勘探及开发前期阶段，由于受中东局势影响，Iraq项目开发计划受到了较大影响。谢谢！</w:t>
            </w:r>
          </w:p>
          <w:p w14:paraId="37D9A7B0" w14:textId="7420C47F"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1</w:t>
            </w:r>
            <w:r>
              <w:rPr>
                <w:rFonts w:ascii="宋体" w:hAnsi="宋体"/>
                <w:b/>
                <w:sz w:val="24"/>
                <w:szCs w:val="24"/>
              </w:rPr>
              <w:t>、中报显示公司营收17.06亿元同比下降13.89，归母净利润9899万元同比下降67.03，主要受地缘冲突导致10支井队停工、温宿油田原油销量下滑等因素影响。上半年公司原油平均实现价格约61.6美元/桶同比有所提升，但桶油成本升至22.5美元/桶，请问公司如何看待下半年油价中枢走势，成本上升的压力能否通过上产规模效应消化？</w:t>
            </w:r>
          </w:p>
          <w:p w14:paraId="3402E899"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国际油价受市场供需关系、全球经济发展态势、地缘政治冲突等多种因素共同作用影响，波动情况难以预测，油价中枢存在不确定性。公司将依托一体化协同运作优势，加大区块开发力度，继续发挥成本优势，持续提升盈利能力。谢谢！</w:t>
            </w:r>
          </w:p>
          <w:p w14:paraId="6EA2115E" w14:textId="50E1ECC9"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2</w:t>
            </w:r>
            <w:r>
              <w:rPr>
                <w:rFonts w:ascii="宋体" w:hAnsi="宋体"/>
                <w:b/>
                <w:sz w:val="24"/>
                <w:szCs w:val="24"/>
              </w:rPr>
              <w:t>、进入9月国内原油供应是否紧张？贵司的国内产能是否满负荷运转？是否处于产销两旺的市场环境中？谢谢！</w:t>
            </w:r>
          </w:p>
          <w:p w14:paraId="5A81308B"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您好！公司结合国际油价走势、市场需求及自身生产计划，有序组织国内原油开采并合理安排产销节奏。国内原油市场供需、产能利用及产销情况受多重因素影响，存在一定波动。谢谢！</w:t>
            </w:r>
          </w:p>
          <w:p w14:paraId="293025D4" w14:textId="3963A2AD"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3</w:t>
            </w:r>
            <w:r>
              <w:rPr>
                <w:rFonts w:ascii="宋体" w:hAnsi="宋体"/>
                <w:b/>
                <w:sz w:val="24"/>
                <w:szCs w:val="24"/>
              </w:rPr>
              <w:t>、近期国际石油大涨，不知道贵司的价格传导机制是怎样的？今年前三季度平均销售单价是否比去年高？预期高的幅度是多</w:t>
            </w:r>
            <w:r>
              <w:rPr>
                <w:rFonts w:ascii="宋体" w:hAnsi="宋体"/>
                <w:b/>
                <w:sz w:val="24"/>
                <w:szCs w:val="24"/>
              </w:rPr>
              <w:lastRenderedPageBreak/>
              <w:t>少？感谢！</w:t>
            </w:r>
          </w:p>
          <w:p w14:paraId="37280DFB"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原油销售定价遵循市场化原则，温宿油田原油销售价格主要依据国际原油价格、运输方式、国内市场供需情况等多种因素确定。哈萨克斯坦原油内销价格是根据哈萨克斯坦国内需求情况形成的市场公允价格，受国际油价影响较小。 具体经营情况请以公司后续披露定期报告为准。谢谢！</w:t>
            </w:r>
          </w:p>
          <w:p w14:paraId="16AD3977" w14:textId="329292D9"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4</w:t>
            </w:r>
            <w:r>
              <w:rPr>
                <w:rFonts w:ascii="宋体" w:hAnsi="宋体"/>
                <w:b/>
                <w:sz w:val="24"/>
                <w:szCs w:val="24"/>
              </w:rPr>
              <w:t>、塔河炼化装置检修（3月中旬～5月中旬）完成后，Q3的库存消耗如何，多积压的3亿库存目前销售完成了没？谢谢！</w:t>
            </w:r>
          </w:p>
          <w:p w14:paraId="0E82578F"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上半年库存增加，主要系市场需求阶段性波动导致温宿油田原油销量承压。公司持续推进销售渠道拓展与库存去化，消化进度受下游炼厂开工、物流安排、油价及客户采购节奏等影响，存在一定不确定性。后续经营情况请以公司披露的定期报告为准。谢谢！</w:t>
            </w:r>
          </w:p>
          <w:p w14:paraId="3965CDCF" w14:textId="0D215AEE"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5</w:t>
            </w:r>
            <w:r>
              <w:rPr>
                <w:rFonts w:ascii="宋体" w:hAnsi="宋体"/>
                <w:b/>
                <w:sz w:val="24"/>
                <w:szCs w:val="24"/>
              </w:rPr>
              <w:t>、今年下半年面对中东局势持续动荡带来的高油价，下半年公司综合产销怎么样？</w:t>
            </w:r>
          </w:p>
          <w:p w14:paraId="11955545"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下半年公司将结合国际油价走势、市场需求及自身生产计划，有序组织原油开采并合理安排产销节奏，持续拓宽销售渠道、加大温宿油田去库存力度。中东局势、油价波动及市场需求等仍存在不确定性，公司经营情况请以公司后续披露的定期报告为准。谢谢！</w:t>
            </w:r>
          </w:p>
          <w:p w14:paraId="28F4EE17" w14:textId="3F7CCCFD"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1</w:t>
            </w:r>
            <w:r w:rsidR="00DD4380">
              <w:rPr>
                <w:rFonts w:ascii="宋体" w:hAnsi="宋体" w:hint="eastAsia"/>
                <w:b/>
                <w:sz w:val="24"/>
                <w:szCs w:val="24"/>
              </w:rPr>
              <w:t>6</w:t>
            </w:r>
            <w:r>
              <w:rPr>
                <w:rFonts w:ascii="宋体" w:hAnsi="宋体"/>
                <w:b/>
                <w:sz w:val="24"/>
                <w:szCs w:val="24"/>
              </w:rPr>
              <w:t>、坚戈是不是要达产后才可能出口？哈萨克斯坦的原油出口政策是什么样的？坚戈和岸边的油有可能获得出口配额从而卖到高价吗？卖给哈国国内炼厂的价格太低了，关于哈国这块业务公司是怎么考虑的？</w:t>
            </w:r>
          </w:p>
          <w:p w14:paraId="575EC0C5"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坚戈油田出口外销需要向能源部提交申请并通过审批后才能出口，具体的出口配额将会根据运输渠道和最终实现价格来衡量确定。哈萨克斯坦原油销售分为内销和外销，整体价格受各自销售比例及市场波动变化而变化。公司将根据项目进展、市场环境与经营效益统筹优化销售安排。谢谢！</w:t>
            </w:r>
          </w:p>
          <w:p w14:paraId="69162C4A" w14:textId="330B129B"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lastRenderedPageBreak/>
              <w:t>1</w:t>
            </w:r>
            <w:r w:rsidR="00DD4380">
              <w:rPr>
                <w:rFonts w:ascii="宋体" w:hAnsi="宋体" w:hint="eastAsia"/>
                <w:b/>
                <w:sz w:val="24"/>
                <w:szCs w:val="24"/>
              </w:rPr>
              <w:t>7</w:t>
            </w:r>
            <w:r>
              <w:rPr>
                <w:rFonts w:ascii="宋体" w:hAnsi="宋体"/>
                <w:b/>
                <w:sz w:val="24"/>
                <w:szCs w:val="24"/>
              </w:rPr>
              <w:t>、李总，您好！温宿油田的原油主要销往新疆附近的炼厂，一旦炼厂检修或者降低库存，那公司在温宿的销量是否就会受到较大影响？如果是，公司如何应对这种情况？</w:t>
            </w:r>
          </w:p>
          <w:p w14:paraId="12AE1436"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您好！温宿油田原油客户涵盖了炼厂、贸易商等多种类型的客户，公司持续拓宽销售渠道、拓展客户群体，优化销售策略，保障公司原油产销稳定。谢谢！</w:t>
            </w:r>
          </w:p>
          <w:p w14:paraId="3B4A22BA" w14:textId="5663E872"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18</w:t>
            </w:r>
            <w:r>
              <w:rPr>
                <w:rFonts w:ascii="宋体" w:hAnsi="宋体"/>
                <w:b/>
                <w:sz w:val="24"/>
                <w:szCs w:val="24"/>
              </w:rPr>
              <w:t>、中东地缘战火持续扰动区域经营，公司中东某国市场多支钻井队处于停工待命状态，复工时间存在不确定性。想了解中东冲突对公司钻完井业务、中东某国勘探开发项目分别带来哪些实际负面影响，停工状态下设备折旧、人员薪酬等成本如何处理？公司有无预案对冲地缘风险，钻机是否有转移其他市场的备选方案？</w:t>
            </w:r>
          </w:p>
          <w:p w14:paraId="2622FB82"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受中东地缘局势持续变化影响，Iraq项目多支井队按照甲方要求暂停施工作业，对钻完井板块经营造成一定不利影响。停工期间，井队设备折旧、人员薪酬计入当期成本。公司已制定并启动应急预案，强化现场安保，持续跟踪当地局势，保持与甲方沟通，积极推动复工事宜。公司暂无将钻机转移至其他市场的计划，谢谢！</w:t>
            </w:r>
          </w:p>
          <w:p w14:paraId="27177E13" w14:textId="252AE941" w:rsidR="000C4E5C" w:rsidRDefault="00DD4380" w:rsidP="00D87043">
            <w:pPr>
              <w:pStyle w:val="Style6"/>
              <w:spacing w:line="360" w:lineRule="auto"/>
              <w:ind w:firstLineChars="0" w:firstLine="0"/>
              <w:rPr>
                <w:rFonts w:ascii="宋体" w:hAnsi="宋体" w:hint="eastAsia"/>
                <w:b/>
                <w:sz w:val="24"/>
                <w:szCs w:val="24"/>
              </w:rPr>
            </w:pPr>
            <w:r>
              <w:rPr>
                <w:rFonts w:ascii="宋体" w:hAnsi="宋体" w:hint="eastAsia"/>
                <w:b/>
                <w:sz w:val="24"/>
                <w:szCs w:val="24"/>
              </w:rPr>
              <w:t>19</w:t>
            </w:r>
            <w:r>
              <w:rPr>
                <w:rFonts w:ascii="宋体" w:hAnsi="宋体"/>
                <w:b/>
                <w:sz w:val="24"/>
                <w:szCs w:val="24"/>
              </w:rPr>
              <w:t>、公司海外布局哈萨克斯坦、中东、阿尔及利亚等多个油气区块，不同地区分别采用 DPC、PSC、矿税等不同盈利模式。请介绍各重点海外项目最新实际进展，当地利润分成、暴利税、资源税等政策会如何实际影响项目盈利水平？后续是否存在当地财税政策变动的风险及对应应对举措？</w:t>
            </w:r>
          </w:p>
          <w:p w14:paraId="4B4C5C31"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公司海外油气项目根据各资源国国情和政策，采用与之相适应的合同模式，目前坚戈区块已进入开发提产阶段，岸边区块处于勘探评价阶段；Iraq两区块处于勘探及开发前期，正按初始开发方案有序推进；泽拉法II项目处于勘探阶段。项目盈利水平受国际油价、产量、当地财税政策及汇率等多重因素影响，公司已在定期报告中就行业周期、油价波动、汇兑等风险作出提示，</w:t>
            </w:r>
            <w:r>
              <w:rPr>
                <w:rFonts w:ascii="宋体" w:hAnsi="宋体"/>
                <w:sz w:val="24"/>
                <w:szCs w:val="24"/>
              </w:rPr>
              <w:lastRenderedPageBreak/>
              <w:t>公司保持与资源国主管部门的常态化沟通，时刻关注当地政策变化。谢谢！</w:t>
            </w:r>
          </w:p>
          <w:p w14:paraId="4B79B3F8" w14:textId="7D5103E4"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2</w:t>
            </w:r>
            <w:r w:rsidR="00DD4380">
              <w:rPr>
                <w:rFonts w:ascii="宋体" w:hAnsi="宋体" w:hint="eastAsia"/>
                <w:b/>
                <w:sz w:val="24"/>
                <w:szCs w:val="24"/>
              </w:rPr>
              <w:t>0</w:t>
            </w:r>
            <w:r>
              <w:rPr>
                <w:rFonts w:ascii="宋体" w:hAnsi="宋体"/>
                <w:b/>
                <w:sz w:val="24"/>
                <w:szCs w:val="24"/>
              </w:rPr>
              <w:t>、2026 上半年国际油价整体处于高位，但公司归母净利润同比大幅下滑。半年报提及受温宿油田原油销量下降、移库运费增加、中东井队停工、海外项目前期勘探投入增加多重因素影响。想请管理层拆解各项因素对利润的影响权重，同时结合原油销售、海外项目复工、成本管控情况，展望下半年公司业绩能否实现修复，有哪些关键的观测指标？</w:t>
            </w:r>
          </w:p>
          <w:p w14:paraId="16FA07B7"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下半年，公司将加大温宿油田未售原油去库存力度、积极争取Iraq停工井队尽快复工、推进坚戈项目、岸边项目上产及温宿稳产、强化成本费用管控；相关成效受国际油价、市场需求及地缘局势等因素影响存在不确定性，后续经营情况和业绩情况请关注公司届时发布的定期报告为准。谢谢！</w:t>
            </w:r>
          </w:p>
          <w:p w14:paraId="1106AA0F" w14:textId="6C2B813D"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2</w:t>
            </w:r>
            <w:r w:rsidR="00DD4380">
              <w:rPr>
                <w:rFonts w:ascii="宋体" w:hAnsi="宋体" w:hint="eastAsia"/>
                <w:b/>
                <w:sz w:val="24"/>
                <w:szCs w:val="24"/>
              </w:rPr>
              <w:t>1</w:t>
            </w:r>
            <w:r>
              <w:rPr>
                <w:rFonts w:ascii="宋体" w:hAnsi="宋体"/>
                <w:b/>
                <w:sz w:val="24"/>
                <w:szCs w:val="24"/>
              </w:rPr>
              <w:t>、李总，您好！请问Iraq 两个油田预计何时能投产？投产之前公司的前期投入，是每年从卖油的收入中提取一点补偿？还是一次性地先全部补偿？或者是按比例补？</w:t>
            </w:r>
          </w:p>
          <w:p w14:paraId="47B6CC3A"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EBN、MF目前处于勘探及开发前期阶段，公司正有序推进地震采集、井位部署等前期准备工作。由于受中东局势影响，Iraq项目开发计划受到了较大影响，具体投产时间尚无法明确。关于前期投入的回收方式：两区块采用开发生产合同模式，公司承担的勘探开发投入在油田投产后，按照合同约定从油气收入中逐步回收，并非一次性补偿；成本全部回收后，剩余收益按合同约定的比例进行分配。具体回收进度取决于油气区块实际产量、国际油价等因素。谢谢！</w:t>
            </w:r>
          </w:p>
          <w:p w14:paraId="4AC5B18C" w14:textId="4C9A676F"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2</w:t>
            </w:r>
            <w:r w:rsidR="00DD4380">
              <w:rPr>
                <w:rFonts w:ascii="宋体" w:hAnsi="宋体" w:hint="eastAsia"/>
                <w:b/>
                <w:sz w:val="24"/>
                <w:szCs w:val="24"/>
              </w:rPr>
              <w:t>2</w:t>
            </w:r>
            <w:r>
              <w:rPr>
                <w:rFonts w:ascii="宋体" w:hAnsi="宋体"/>
                <w:b/>
                <w:sz w:val="24"/>
                <w:szCs w:val="24"/>
              </w:rPr>
              <w:t>、Iraq停工的打井队，现在是什么状态？公司采取什么措施应对？是否能投入到MF或者EBN油田的开采？</w:t>
            </w:r>
          </w:p>
          <w:p w14:paraId="1D3937F4" w14:textId="77777777" w:rsidR="000C4E5C" w:rsidRDefault="00000000" w:rsidP="00D87043">
            <w:pPr>
              <w:pStyle w:val="Style6"/>
              <w:spacing w:line="360" w:lineRule="auto"/>
              <w:ind w:firstLineChars="0" w:firstLine="0"/>
              <w:rPr>
                <w:rFonts w:ascii="宋体" w:hAnsi="宋体" w:hint="eastAsia"/>
                <w:sz w:val="24"/>
                <w:szCs w:val="24"/>
              </w:rPr>
            </w:pPr>
            <w:r>
              <w:rPr>
                <w:rFonts w:ascii="宋体" w:hAnsi="宋体"/>
                <w:sz w:val="24"/>
                <w:szCs w:val="24"/>
              </w:rPr>
              <w:t>您好，截至目前，公司在Iraq停工井队尙处于待命状态，复工时间存在不确定性。公司正积极与甲方沟通，争取Iraq钻完井业务尽快复工。同时，公司加大国内市场开拓力度，以对冲影响。</w:t>
            </w:r>
            <w:r>
              <w:rPr>
                <w:rFonts w:ascii="宋体" w:hAnsi="宋体"/>
                <w:sz w:val="24"/>
                <w:szCs w:val="24"/>
              </w:rPr>
              <w:lastRenderedPageBreak/>
              <w:t>EBN、MF两区块目前处于勘探及开发前期，公司将按照Iraq政府和油田开发具体政策，遵循开发合同和采购规则要求，统筹自身钻完井工程技术资源，服务自有油田开发。谢谢！</w:t>
            </w:r>
          </w:p>
          <w:p w14:paraId="37245B4A" w14:textId="532074CA" w:rsidR="000C4E5C" w:rsidRDefault="00000000" w:rsidP="00D87043">
            <w:pPr>
              <w:pStyle w:val="Style6"/>
              <w:spacing w:line="360" w:lineRule="auto"/>
              <w:ind w:firstLineChars="0" w:firstLine="0"/>
              <w:rPr>
                <w:rFonts w:ascii="宋体" w:hAnsi="宋体" w:hint="eastAsia"/>
                <w:b/>
                <w:sz w:val="24"/>
                <w:szCs w:val="24"/>
              </w:rPr>
            </w:pPr>
            <w:r>
              <w:rPr>
                <w:rFonts w:ascii="宋体" w:hAnsi="宋体"/>
                <w:b/>
                <w:sz w:val="24"/>
                <w:szCs w:val="24"/>
              </w:rPr>
              <w:t>2</w:t>
            </w:r>
            <w:r w:rsidR="00DD4380">
              <w:rPr>
                <w:rFonts w:ascii="宋体" w:hAnsi="宋体" w:hint="eastAsia"/>
                <w:b/>
                <w:sz w:val="24"/>
                <w:szCs w:val="24"/>
              </w:rPr>
              <w:t>3</w:t>
            </w:r>
            <w:r>
              <w:rPr>
                <w:rFonts w:ascii="宋体" w:hAnsi="宋体"/>
                <w:b/>
                <w:sz w:val="24"/>
                <w:szCs w:val="24"/>
              </w:rPr>
              <w:t>、年报显示，公司近年来归母净利润持续下行，2025年同比下滑29.80，2026年上半年同比降幅进一步扩大至67.03，盈利水平持续承压已引发中小投资者广泛关注。公司在2026年半年度报告中披露，业绩下滑主要系原油销量下滑、原油移库运输费用增加及在伊市场钻井队停工等因素所致。请公司说明上述导致业绩下滑的各项不利因素是否仍将持续，公司拟采取的改善盈利的具体措施。</w:t>
            </w:r>
          </w:p>
          <w:p w14:paraId="394D3AEF" w14:textId="1F2D46AC" w:rsidR="000C4E5C" w:rsidRPr="00DD4380" w:rsidRDefault="00000000" w:rsidP="00DD4380">
            <w:pPr>
              <w:pStyle w:val="Style6"/>
              <w:spacing w:line="360" w:lineRule="auto"/>
              <w:ind w:firstLineChars="0" w:firstLine="0"/>
              <w:rPr>
                <w:rFonts w:ascii="宋体" w:hAnsi="宋体" w:hint="eastAsia"/>
                <w:sz w:val="24"/>
                <w:szCs w:val="24"/>
              </w:rPr>
            </w:pPr>
            <w:r>
              <w:rPr>
                <w:rFonts w:ascii="宋体" w:hAnsi="宋体"/>
                <w:sz w:val="24"/>
                <w:szCs w:val="24"/>
              </w:rPr>
              <w:t>您好，公司上半年业绩下滑主要系温宿销量下滑及移库费增加、Iraq井队停工、海外新区块前期勘探投入增加等多重因素叠加导致。上述因素部分属阶段性、外部性因素：温宿去库存二季度已有改善但仍受需求与油价影响；Iraq复工取决于甲方与地区局势，尚不确定。下半年，公司持续拓宽销售渠道和客户，加大去库存力度，同时积极与甲方沟通争取Iraq钻完井工程业务尽快复工，推进哈萨克斯坦油田上产与温宿稳产，并严控费用。后续经营情况和业绩情况请关注公司届时发布的定期报告为准。谢谢！</w:t>
            </w:r>
          </w:p>
        </w:tc>
      </w:tr>
      <w:tr w:rsidR="000C4E5C" w14:paraId="750C939E" w14:textId="77777777">
        <w:tc>
          <w:tcPr>
            <w:tcW w:w="1908" w:type="dxa"/>
            <w:tcBorders>
              <w:top w:val="single" w:sz="4" w:space="0" w:color="auto"/>
              <w:left w:val="single" w:sz="4" w:space="0" w:color="auto"/>
              <w:bottom w:val="single" w:sz="4" w:space="0" w:color="auto"/>
              <w:right w:val="single" w:sz="4" w:space="0" w:color="auto"/>
            </w:tcBorders>
            <w:vAlign w:val="center"/>
          </w:tcPr>
          <w:p w14:paraId="7AB5D7B6" w14:textId="77777777" w:rsidR="000C4E5C" w:rsidRDefault="00000000">
            <w:pPr>
              <w:spacing w:line="420" w:lineRule="exact"/>
              <w:rPr>
                <w:bCs/>
                <w:iCs/>
                <w:color w:val="000000"/>
                <w:kern w:val="0"/>
                <w:sz w:val="24"/>
              </w:rPr>
            </w:pPr>
            <w:r>
              <w:rPr>
                <w:rFonts w:hAnsi="宋体"/>
                <w:bCs/>
                <w:iCs/>
                <w:color w:val="000000"/>
                <w:kern w:val="0"/>
                <w:sz w:val="24"/>
              </w:rPr>
              <w:lastRenderedPageBreak/>
              <w:t>附件清单（如有）</w:t>
            </w:r>
          </w:p>
        </w:tc>
        <w:tc>
          <w:tcPr>
            <w:tcW w:w="6847" w:type="dxa"/>
            <w:tcBorders>
              <w:top w:val="single" w:sz="4" w:space="0" w:color="auto"/>
              <w:left w:val="single" w:sz="4" w:space="0" w:color="auto"/>
              <w:bottom w:val="single" w:sz="4" w:space="0" w:color="auto"/>
              <w:right w:val="single" w:sz="4" w:space="0" w:color="auto"/>
            </w:tcBorders>
          </w:tcPr>
          <w:p w14:paraId="2D21642B" w14:textId="77777777" w:rsidR="000C4E5C" w:rsidRDefault="000C4E5C">
            <w:pPr>
              <w:spacing w:line="420" w:lineRule="exact"/>
              <w:rPr>
                <w:bCs/>
                <w:iCs/>
                <w:color w:val="000000"/>
                <w:sz w:val="24"/>
              </w:rPr>
            </w:pPr>
          </w:p>
        </w:tc>
      </w:tr>
      <w:tr w:rsidR="000C4E5C" w14:paraId="692908F1" w14:textId="77777777">
        <w:tc>
          <w:tcPr>
            <w:tcW w:w="1908" w:type="dxa"/>
            <w:tcBorders>
              <w:top w:val="single" w:sz="4" w:space="0" w:color="auto"/>
              <w:left w:val="single" w:sz="4" w:space="0" w:color="auto"/>
              <w:bottom w:val="single" w:sz="4" w:space="0" w:color="auto"/>
              <w:right w:val="single" w:sz="4" w:space="0" w:color="auto"/>
            </w:tcBorders>
            <w:vAlign w:val="center"/>
          </w:tcPr>
          <w:p w14:paraId="7E8817F8" w14:textId="77777777" w:rsidR="000C4E5C" w:rsidRDefault="00000000">
            <w:pPr>
              <w:spacing w:line="420" w:lineRule="exact"/>
              <w:rPr>
                <w:bCs/>
                <w:iCs/>
                <w:color w:val="000000"/>
                <w:kern w:val="0"/>
                <w:sz w:val="24"/>
              </w:rPr>
            </w:pPr>
            <w:r>
              <w:rPr>
                <w:rFonts w:hAnsi="宋体"/>
                <w:bCs/>
                <w:iCs/>
                <w:color w:val="000000"/>
                <w:kern w:val="0"/>
                <w:sz w:val="24"/>
              </w:rPr>
              <w:t>日期</w:t>
            </w:r>
          </w:p>
        </w:tc>
        <w:tc>
          <w:tcPr>
            <w:tcW w:w="6847" w:type="dxa"/>
            <w:tcBorders>
              <w:top w:val="single" w:sz="4" w:space="0" w:color="auto"/>
              <w:left w:val="single" w:sz="4" w:space="0" w:color="auto"/>
              <w:bottom w:val="single" w:sz="4" w:space="0" w:color="auto"/>
              <w:right w:val="single" w:sz="4" w:space="0" w:color="auto"/>
            </w:tcBorders>
          </w:tcPr>
          <w:p w14:paraId="460C83CC" w14:textId="206ADB8E" w:rsidR="000C4E5C" w:rsidRDefault="00000000">
            <w:pPr>
              <w:spacing w:line="420" w:lineRule="exact"/>
              <w:rPr>
                <w:bCs/>
                <w:iCs/>
                <w:color w:val="000000"/>
                <w:sz w:val="24"/>
              </w:rPr>
            </w:pPr>
            <w:r>
              <w:rPr>
                <w:bCs/>
                <w:iCs/>
                <w:color w:val="000000"/>
                <w:sz w:val="24"/>
              </w:rPr>
              <w:t xml:space="preserve">2026-09-16 </w:t>
            </w:r>
          </w:p>
        </w:tc>
      </w:tr>
    </w:tbl>
    <w:p w14:paraId="6648EB9A" w14:textId="77777777" w:rsidR="000C4E5C" w:rsidRDefault="000C4E5C"/>
    <w:sectPr w:rsidR="000C4E5C">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B492" w14:textId="77777777" w:rsidR="00D94D8A" w:rsidRDefault="00D94D8A">
      <w:r>
        <w:separator/>
      </w:r>
    </w:p>
  </w:endnote>
  <w:endnote w:type="continuationSeparator" w:id="0">
    <w:p w14:paraId="56495CC9" w14:textId="77777777" w:rsidR="00D94D8A" w:rsidRDefault="00D9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0B05A" w14:textId="77777777" w:rsidR="00D94D8A" w:rsidRDefault="00D94D8A">
      <w:r>
        <w:separator/>
      </w:r>
    </w:p>
  </w:footnote>
  <w:footnote w:type="continuationSeparator" w:id="0">
    <w:p w14:paraId="4403143A" w14:textId="77777777" w:rsidR="00D94D8A" w:rsidRDefault="00D94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ECBE" w14:textId="5FBB6818" w:rsidR="000C4E5C" w:rsidRDefault="000C4E5C">
    <w:pPr>
      <w:pStyle w:val="a5"/>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C4E5C"/>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12172"/>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E5752"/>
    <w:rsid w:val="003F7C4D"/>
    <w:rsid w:val="0040075F"/>
    <w:rsid w:val="00403300"/>
    <w:rsid w:val="004118C0"/>
    <w:rsid w:val="004176E2"/>
    <w:rsid w:val="00417A31"/>
    <w:rsid w:val="0042004B"/>
    <w:rsid w:val="00433384"/>
    <w:rsid w:val="0043777D"/>
    <w:rsid w:val="0045767F"/>
    <w:rsid w:val="00463E9B"/>
    <w:rsid w:val="00467414"/>
    <w:rsid w:val="00473F30"/>
    <w:rsid w:val="00484E9D"/>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6F0B41"/>
    <w:rsid w:val="00753DB6"/>
    <w:rsid w:val="00763847"/>
    <w:rsid w:val="00771FE3"/>
    <w:rsid w:val="00776BDE"/>
    <w:rsid w:val="00786870"/>
    <w:rsid w:val="00790595"/>
    <w:rsid w:val="00792237"/>
    <w:rsid w:val="0079272A"/>
    <w:rsid w:val="007A1DA9"/>
    <w:rsid w:val="007B2252"/>
    <w:rsid w:val="007B79D9"/>
    <w:rsid w:val="007C67B1"/>
    <w:rsid w:val="007E354A"/>
    <w:rsid w:val="007E69C8"/>
    <w:rsid w:val="007F6671"/>
    <w:rsid w:val="0080525B"/>
    <w:rsid w:val="008062C5"/>
    <w:rsid w:val="0080741A"/>
    <w:rsid w:val="00814B5B"/>
    <w:rsid w:val="00836F34"/>
    <w:rsid w:val="00843E73"/>
    <w:rsid w:val="00844EBF"/>
    <w:rsid w:val="00844F3D"/>
    <w:rsid w:val="00854F61"/>
    <w:rsid w:val="008578DC"/>
    <w:rsid w:val="00864202"/>
    <w:rsid w:val="00873B59"/>
    <w:rsid w:val="0087701F"/>
    <w:rsid w:val="0089283D"/>
    <w:rsid w:val="008A0ADC"/>
    <w:rsid w:val="008A1BAB"/>
    <w:rsid w:val="008B38B7"/>
    <w:rsid w:val="008B458E"/>
    <w:rsid w:val="008C4D4A"/>
    <w:rsid w:val="008E11AE"/>
    <w:rsid w:val="008E1708"/>
    <w:rsid w:val="008E4844"/>
    <w:rsid w:val="008F6A9F"/>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B7AA4"/>
    <w:rsid w:val="009C7FAF"/>
    <w:rsid w:val="009D4199"/>
    <w:rsid w:val="009E5E6A"/>
    <w:rsid w:val="009F0DD5"/>
    <w:rsid w:val="009F1B95"/>
    <w:rsid w:val="009F6C05"/>
    <w:rsid w:val="00A13CB6"/>
    <w:rsid w:val="00A14A1A"/>
    <w:rsid w:val="00A22CDD"/>
    <w:rsid w:val="00A25AEE"/>
    <w:rsid w:val="00A3012A"/>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BF7D97"/>
    <w:rsid w:val="00C04F82"/>
    <w:rsid w:val="00C15AC0"/>
    <w:rsid w:val="00C26030"/>
    <w:rsid w:val="00C41091"/>
    <w:rsid w:val="00C6267B"/>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85366"/>
    <w:rsid w:val="00D87043"/>
    <w:rsid w:val="00D94D8A"/>
    <w:rsid w:val="00DA26A9"/>
    <w:rsid w:val="00DB01FF"/>
    <w:rsid w:val="00DC7778"/>
    <w:rsid w:val="00DD4380"/>
    <w:rsid w:val="00DE7391"/>
    <w:rsid w:val="00DF2DB5"/>
    <w:rsid w:val="00DF6560"/>
    <w:rsid w:val="00E04CC0"/>
    <w:rsid w:val="00E136FF"/>
    <w:rsid w:val="00E32528"/>
    <w:rsid w:val="00E35F26"/>
    <w:rsid w:val="00E53165"/>
    <w:rsid w:val="00E61EF7"/>
    <w:rsid w:val="00E663B4"/>
    <w:rsid w:val="00E80CEB"/>
    <w:rsid w:val="00E826E4"/>
    <w:rsid w:val="00E97051"/>
    <w:rsid w:val="00EA5103"/>
    <w:rsid w:val="00EA6FB9"/>
    <w:rsid w:val="00EB5E6A"/>
    <w:rsid w:val="00EC2AD7"/>
    <w:rsid w:val="00ED7DE0"/>
    <w:rsid w:val="00EE7891"/>
    <w:rsid w:val="00EF49FE"/>
    <w:rsid w:val="00EF5341"/>
    <w:rsid w:val="00F04908"/>
    <w:rsid w:val="00F07C21"/>
    <w:rsid w:val="00F12EF6"/>
    <w:rsid w:val="00F21065"/>
    <w:rsid w:val="00F24CB4"/>
    <w:rsid w:val="00F42643"/>
    <w:rsid w:val="00F43465"/>
    <w:rsid w:val="00F45475"/>
    <w:rsid w:val="00F64E72"/>
    <w:rsid w:val="00F70C7D"/>
    <w:rsid w:val="00F9129C"/>
    <w:rsid w:val="00F9272E"/>
    <w:rsid w:val="00F97743"/>
    <w:rsid w:val="00FA6DAF"/>
    <w:rsid w:val="00FA7E76"/>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B327A"/>
  <w15:docId w15:val="{F1A7EA45-F6F9-4FE7-8A1B-06A8292E5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paragraph" w:styleId="a7">
    <w:name w:val="Revision"/>
    <w:hidden/>
    <w:uiPriority w:val="99"/>
    <w:unhideWhenUsed/>
    <w:rsid w:val="002121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857</Words>
  <Characters>4890</Characters>
  <Application>Microsoft Office Word</Application>
  <DocSecurity>0</DocSecurity>
  <Lines>40</Lines>
  <Paragraphs>11</Paragraphs>
  <ScaleCrop>false</ScaleCrop>
  <Company>微软中国</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ZPEC-BJB-655</cp:lastModifiedBy>
  <cp:revision>2</cp:revision>
  <cp:lastPrinted>2014-02-21T05:34:00Z</cp:lastPrinted>
  <dcterms:created xsi:type="dcterms:W3CDTF">2026-09-18T03:05:00Z</dcterms:created>
  <dcterms:modified xsi:type="dcterms:W3CDTF">2026-09-18T03:05:00Z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