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D830CF">
      <w:pPr>
        <w:jc w:val="left"/>
        <w:rPr>
          <w:rFonts w:hint="default" w:ascii="宋体" w:hAnsi="宋体"/>
          <w:sz w:val="24"/>
          <w:szCs w:val="24"/>
          <w:lang w:val="en-US"/>
        </w:rPr>
      </w:pPr>
      <w:r>
        <w:rPr>
          <w:rFonts w:hint="eastAsia" w:ascii="宋体" w:hAnsi="宋体"/>
          <w:sz w:val="24"/>
          <w:szCs w:val="24"/>
        </w:rPr>
        <w:t>证券代码：</w:t>
      </w:r>
      <w:r>
        <w:rPr>
          <w:rFonts w:hint="default" w:ascii="宋体" w:hAnsi="宋体"/>
          <w:sz w:val="24"/>
          <w:szCs w:val="24"/>
          <w:lang w:val="en-US"/>
        </w:rPr>
        <w:t>600261</w:t>
      </w:r>
      <w:r>
        <w:rPr>
          <w:rFonts w:hint="eastAsia" w:ascii="宋体" w:hAnsi="宋体"/>
          <w:sz w:val="24"/>
          <w:szCs w:val="24"/>
        </w:rPr>
        <w:t xml:space="preserve">                      </w:t>
      </w:r>
      <w:r>
        <w:rPr>
          <w:rFonts w:ascii="宋体" w:hAnsi="宋体"/>
          <w:sz w:val="24"/>
          <w:szCs w:val="24"/>
        </w:rPr>
        <w:t xml:space="preserve">     </w:t>
      </w:r>
      <w:r>
        <w:rPr>
          <w:rFonts w:hint="eastAsia" w:ascii="宋体" w:hAnsi="宋体"/>
          <w:sz w:val="24"/>
          <w:szCs w:val="24"/>
        </w:rPr>
        <w:t>公司简称：</w:t>
      </w:r>
      <w:r>
        <w:rPr>
          <w:rFonts w:hint="default" w:ascii="宋体" w:hAnsi="宋体"/>
          <w:sz w:val="24"/>
          <w:szCs w:val="24"/>
          <w:lang w:val="en-US"/>
        </w:rPr>
        <w:t>阳光照明</w:t>
      </w:r>
    </w:p>
    <w:p w14:paraId="0C7D6369">
      <w:pPr>
        <w:jc w:val="center"/>
        <w:rPr>
          <w:rFonts w:hint="eastAsia"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浙江阳光照明电器集团股份有限公司</w:t>
      </w:r>
    </w:p>
    <w:p w14:paraId="69944364"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投资者关系活动记录表</w:t>
      </w:r>
    </w:p>
    <w:p w14:paraId="0EB2B64A">
      <w:pPr>
        <w:jc w:val="center"/>
        <w:rPr>
          <w:rFonts w:ascii="黑体" w:hAnsi="黑体" w:eastAsia="黑体"/>
          <w:sz w:val="24"/>
          <w:szCs w:val="24"/>
        </w:rPr>
      </w:pPr>
    </w:p>
    <w:p w14:paraId="26E4B478">
      <w:pPr>
        <w:ind w:right="720"/>
        <w:jc w:val="right"/>
        <w:rPr>
          <w:rFonts w:ascii="黑体" w:hAnsi="黑体" w:eastAsia="黑体"/>
          <w:sz w:val="24"/>
          <w:szCs w:val="24"/>
        </w:rPr>
      </w:pPr>
    </w:p>
    <w:tbl>
      <w:tblPr>
        <w:tblStyle w:val="4"/>
        <w:tblW w:w="871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7191"/>
      </w:tblGrid>
      <w:tr w14:paraId="212E6C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1526" w:type="dxa"/>
            <w:noWrap w:val="0"/>
            <w:vAlign w:val="center"/>
          </w:tcPr>
          <w:p w14:paraId="39490602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投资者关系活动类别</w:t>
            </w:r>
          </w:p>
        </w:tc>
        <w:tc>
          <w:tcPr>
            <w:tcW w:w="7191" w:type="dxa"/>
            <w:noWrap w:val="0"/>
            <w:vAlign w:val="center"/>
          </w:tcPr>
          <w:p w14:paraId="42B3C419">
            <w:pPr>
              <w:spacing w:line="360" w:lineRule="auto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业绩说明会</w:t>
            </w:r>
          </w:p>
        </w:tc>
      </w:tr>
      <w:tr w14:paraId="0FBB4A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1526" w:type="dxa"/>
            <w:noWrap w:val="0"/>
            <w:vAlign w:val="center"/>
          </w:tcPr>
          <w:p w14:paraId="6C22FC60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活动主题</w:t>
            </w:r>
          </w:p>
        </w:tc>
        <w:tc>
          <w:tcPr>
            <w:tcW w:w="7191" w:type="dxa"/>
            <w:noWrap w:val="0"/>
            <w:vAlign w:val="center"/>
          </w:tcPr>
          <w:p w14:paraId="06CBE369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iCs/>
                <w:color w:val="000000"/>
                <w:sz w:val="24"/>
                <w:highlight w:val="none"/>
                <w:lang w:val="en-GB"/>
              </w:rPr>
              <w:t>阳光照明2026年半年度业绩说明会</w:t>
            </w:r>
          </w:p>
        </w:tc>
      </w:tr>
      <w:tr w14:paraId="06FDEA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526" w:type="dxa"/>
            <w:noWrap w:val="0"/>
            <w:vAlign w:val="center"/>
          </w:tcPr>
          <w:p w14:paraId="4B2CA8D8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时间</w:t>
            </w:r>
          </w:p>
        </w:tc>
        <w:tc>
          <w:tcPr>
            <w:tcW w:w="7191" w:type="dxa"/>
            <w:noWrap w:val="0"/>
            <w:vAlign w:val="center"/>
          </w:tcPr>
          <w:p w14:paraId="3024CFB0">
            <w:pPr>
              <w:spacing w:line="360" w:lineRule="auto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iCs/>
                <w:color w:val="000000"/>
                <w:sz w:val="24"/>
                <w:highlight w:val="none"/>
              </w:rPr>
              <w:t>2026-09-18 - 14:00-15:00</w:t>
            </w:r>
          </w:p>
        </w:tc>
      </w:tr>
      <w:tr w14:paraId="6D0EE6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1526" w:type="dxa"/>
            <w:noWrap w:val="0"/>
            <w:vAlign w:val="center"/>
          </w:tcPr>
          <w:p w14:paraId="323A4B4B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地点</w:t>
            </w:r>
            <w:r>
              <w:rPr>
                <w:rFonts w:hint="eastAsia" w:ascii="宋体" w:hAnsi="宋体"/>
                <w:sz w:val="24"/>
                <w:szCs w:val="24"/>
              </w:rPr>
              <w:t>/</w:t>
            </w:r>
            <w:r>
              <w:rPr>
                <w:rFonts w:hint="eastAsia"/>
                <w:sz w:val="24"/>
                <w:szCs w:val="24"/>
              </w:rPr>
              <w:t>方式</w:t>
            </w:r>
          </w:p>
        </w:tc>
        <w:tc>
          <w:tcPr>
            <w:tcW w:w="7191" w:type="dxa"/>
            <w:noWrap w:val="0"/>
            <w:vAlign w:val="top"/>
          </w:tcPr>
          <w:p w14:paraId="6179D87A">
            <w:pPr>
              <w:spacing w:line="360" w:lineRule="auto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 xml:space="preserve">上证路演中心 </w:t>
            </w:r>
            <w:r>
              <w:fldChar w:fldCharType="begin"/>
            </w:r>
            <w:r>
              <w:instrText xml:space="preserve"> HYPERLINK "https://roadshow.sseinfo.com" </w:instrText>
            </w:r>
            <w:r>
              <w:fldChar w:fldCharType="separate"/>
            </w:r>
            <w:r>
              <w:rPr>
                <w:rStyle w:val="6"/>
                <w:rFonts w:hint="eastAsia" w:ascii="宋体" w:hAnsi="宋体"/>
                <w:bCs/>
                <w:sz w:val="24"/>
              </w:rPr>
              <w:t>https://roadshow.sseinfo.com</w:t>
            </w:r>
            <w:r>
              <w:rPr>
                <w:rStyle w:val="6"/>
                <w:rFonts w:hint="eastAsia" w:ascii="宋体" w:hAnsi="宋体"/>
                <w:bCs/>
                <w:sz w:val="24"/>
              </w:rPr>
              <w:fldChar w:fldCharType="end"/>
            </w:r>
          </w:p>
          <w:p w14:paraId="0DE785A3">
            <w:pPr>
              <w:spacing w:line="360" w:lineRule="auto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网络文字互动</w:t>
            </w:r>
          </w:p>
        </w:tc>
      </w:tr>
      <w:tr w14:paraId="16ACBB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1526" w:type="dxa"/>
            <w:noWrap w:val="0"/>
            <w:vAlign w:val="center"/>
          </w:tcPr>
          <w:p w14:paraId="7B6370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参会人员</w:t>
            </w:r>
          </w:p>
        </w:tc>
        <w:tc>
          <w:tcPr>
            <w:tcW w:w="7191" w:type="dxa"/>
            <w:noWrap w:val="0"/>
            <w:vAlign w:val="center"/>
          </w:tcPr>
          <w:p w14:paraId="5F53A5AD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董事、总经理：吴国明</w:t>
            </w:r>
          </w:p>
          <w:p w14:paraId="5ED20AE2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独立董事：饶钢</w:t>
            </w:r>
          </w:p>
          <w:p w14:paraId="5D1B0A63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财务总监：陈圣华</w:t>
            </w:r>
          </w:p>
          <w:p w14:paraId="05EC2C0A">
            <w:pPr>
              <w:spacing w:line="360" w:lineRule="auto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董事会秘书：张龙</w:t>
            </w:r>
          </w:p>
        </w:tc>
      </w:tr>
      <w:tr w14:paraId="574F10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526" w:type="dxa"/>
            <w:noWrap w:val="0"/>
            <w:vAlign w:val="center"/>
          </w:tcPr>
          <w:p w14:paraId="39BA71FB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投资者关系活动主要内容介绍</w:t>
            </w:r>
          </w:p>
        </w:tc>
        <w:tc>
          <w:tcPr>
            <w:tcW w:w="7191" w:type="dxa"/>
            <w:noWrap w:val="0"/>
            <w:vAlign w:val="top"/>
          </w:tcPr>
          <w:p w14:paraId="5510D5F3">
            <w:pPr>
              <w:spacing w:before="156" w:beforeLines="50" w:line="360" w:lineRule="auto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投资者关系活动主要内容</w:t>
            </w:r>
          </w:p>
          <w:p w14:paraId="6412AAD3">
            <w:pPr>
              <w:spacing w:line="360" w:lineRule="auto"/>
              <w:ind w:firstLine="482" w:firstLineChars="200"/>
              <w:rPr>
                <w:b/>
                <w:bCs/>
              </w:rPr>
            </w:pPr>
            <w:r>
              <w:rPr>
                <w:rFonts w:hint="default" w:ascii="宋体"/>
                <w:b/>
                <w:bCs/>
                <w:sz w:val="24"/>
                <w:lang w:val="en-US"/>
              </w:rPr>
              <w:t>1、在即将出台或已经更新的行业健康照明标准下，阳光照明有哪些技术储备或产品优势来抢占这一高端市场份额？</w:t>
            </w:r>
          </w:p>
          <w:p w14:paraId="7388DFF9">
            <w:pPr>
              <w:spacing w:line="360" w:lineRule="auto"/>
              <w:ind w:firstLine="480" w:firstLineChars="200"/>
              <w:rPr>
                <w:rFonts w:hint="default" w:ascii="宋体"/>
                <w:sz w:val="24"/>
                <w:lang w:val="en-US"/>
              </w:rPr>
            </w:pPr>
            <w:r>
              <w:rPr>
                <w:rFonts w:hint="default" w:ascii="宋体"/>
                <w:sz w:val="24"/>
                <w:lang w:val="en-US"/>
              </w:rPr>
              <w:t>健康照明正在经历一轮评价体系的系统性升级。过去，行业对</w:t>
            </w:r>
            <w:r>
              <w:rPr>
                <w:rFonts w:hint="eastAsia" w:ascii="宋体"/>
                <w:sz w:val="24"/>
                <w:lang w:val="en-US" w:eastAsia="zh-CN"/>
              </w:rPr>
              <w:t>“</w:t>
            </w:r>
            <w:r>
              <w:rPr>
                <w:rFonts w:hint="default" w:ascii="宋体"/>
                <w:sz w:val="24"/>
                <w:lang w:val="en-US"/>
              </w:rPr>
              <w:t>健康</w:t>
            </w:r>
            <w:r>
              <w:rPr>
                <w:rFonts w:hint="eastAsia" w:ascii="宋体"/>
                <w:sz w:val="24"/>
                <w:lang w:val="en-US" w:eastAsia="zh-CN"/>
              </w:rPr>
              <w:t>”</w:t>
            </w:r>
            <w:r>
              <w:rPr>
                <w:rFonts w:hint="default" w:ascii="宋体"/>
                <w:sz w:val="24"/>
                <w:lang w:val="en-US"/>
              </w:rPr>
              <w:t>的定义主要停留在显色指数、防蓝光等视觉安全层面；随着相关标准陆续完善，评价维度已延伸至频闪控制和非视觉生物效应。</w:t>
            </w:r>
            <w:bookmarkStart w:id="0" w:name="_GoBack"/>
            <w:bookmarkEnd w:id="0"/>
          </w:p>
          <w:p w14:paraId="186B6587">
            <w:pPr>
              <w:spacing w:line="360" w:lineRule="auto"/>
              <w:ind w:firstLine="480" w:firstLineChars="200"/>
              <w:rPr>
                <w:rFonts w:hint="default" w:ascii="宋体"/>
                <w:sz w:val="24"/>
                <w:lang w:val="en-US"/>
              </w:rPr>
            </w:pPr>
            <w:r>
              <w:rPr>
                <w:rFonts w:hint="default" w:ascii="宋体"/>
                <w:sz w:val="24"/>
                <w:lang w:val="en-US"/>
              </w:rPr>
              <w:t>公司拥有国家认定企业技术中心、CNAS认可的国家认可实验室，也是行业最早设立博士后科研工作站的机构之一，截至2026年上半年累计授权专利1388 项，其中发明专利253项，公司对标准趋势有较深的理解和前瞻适配能力。研发上，我们持续投入健康光谱、全光谱护眼、低眩光、AI光和人因照明技术；产品上，今年已在国内市场推出读写台灯、全光谱室内照明产品、教育照明产品等新品，海外多款产品通过欧美、日韩认证。下半年公司会继续沿智能化、健康化主线推进，具体在研项目和新品信息请以公司正式发布和公告为准。</w:t>
            </w:r>
          </w:p>
          <w:p w14:paraId="0F1F4CEE">
            <w:pPr>
              <w:spacing w:line="360" w:lineRule="auto"/>
              <w:ind w:firstLine="482" w:firstLineChars="200"/>
              <w:rPr>
                <w:b/>
                <w:bCs/>
              </w:rPr>
            </w:pPr>
            <w:r>
              <w:rPr>
                <w:rFonts w:hint="default" w:ascii="宋体"/>
                <w:b/>
                <w:bCs/>
                <w:sz w:val="24"/>
                <w:lang w:val="en-US"/>
              </w:rPr>
              <w:t>2、泰国海外生产基地正在推进扩产，请问泰国产能建设的实际进度如何？</w:t>
            </w:r>
          </w:p>
          <w:p w14:paraId="2C79C51F">
            <w:pPr>
              <w:spacing w:line="360" w:lineRule="auto"/>
              <w:ind w:firstLine="480" w:firstLineChars="200"/>
              <w:rPr>
                <w:rFonts w:hint="default" w:ascii="宋体"/>
                <w:sz w:val="24"/>
                <w:lang w:val="en-US"/>
              </w:rPr>
            </w:pPr>
            <w:r>
              <w:rPr>
                <w:rFonts w:hint="default" w:ascii="宋体"/>
                <w:sz w:val="24"/>
                <w:lang w:val="en-US"/>
              </w:rPr>
              <w:t>公司泰国项目一期、二期ODI投资分别于2024年、2026年取得主管部门批复。一期项目已于2025年第三季度启动出货并实现满产；二期项目当前已完成购地合同签署，并已取得当地工业园区主管部门核发的土地使用及经营许可，计划于年内启动施工建设。</w:t>
            </w:r>
          </w:p>
          <w:p w14:paraId="57259A8A">
            <w:pPr>
              <w:spacing w:line="360" w:lineRule="auto"/>
              <w:ind w:firstLine="482" w:firstLineChars="200"/>
              <w:rPr>
                <w:b/>
                <w:bCs/>
              </w:rPr>
            </w:pPr>
            <w:r>
              <w:rPr>
                <w:rFonts w:hint="default" w:ascii="宋体"/>
                <w:b/>
                <w:bCs/>
                <w:sz w:val="24"/>
                <w:lang w:val="en-US"/>
              </w:rPr>
              <w:t>3、请问管理层如何看待当前照明行业与全屋智能生态融合的趋势？</w:t>
            </w:r>
          </w:p>
          <w:p w14:paraId="5795F152">
            <w:pPr>
              <w:spacing w:line="360" w:lineRule="auto"/>
              <w:ind w:firstLine="480" w:firstLineChars="200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default" w:ascii="宋体"/>
                <w:sz w:val="24"/>
                <w:lang w:val="en-US"/>
              </w:rPr>
              <w:t>我们认为，照明与全屋智能的深度融合是行业确定性趋势，公司从三个层面在布局：第一，产品层面，照明正在从</w:t>
            </w:r>
            <w:r>
              <w:rPr>
                <w:rFonts w:hint="eastAsia" w:ascii="宋体"/>
                <w:sz w:val="24"/>
                <w:lang w:val="en-US" w:eastAsia="zh-CN"/>
              </w:rPr>
              <w:t>“</w:t>
            </w:r>
            <w:r>
              <w:rPr>
                <w:rFonts w:hint="default" w:ascii="宋体"/>
                <w:sz w:val="24"/>
                <w:lang w:val="en-US"/>
              </w:rPr>
              <w:t>亮起来</w:t>
            </w:r>
            <w:r>
              <w:rPr>
                <w:rFonts w:hint="eastAsia" w:ascii="宋体"/>
                <w:sz w:val="24"/>
                <w:lang w:val="en-US" w:eastAsia="zh-CN"/>
              </w:rPr>
              <w:t>”</w:t>
            </w:r>
            <w:r>
              <w:rPr>
                <w:rFonts w:hint="default" w:ascii="宋体"/>
                <w:sz w:val="24"/>
                <w:lang w:val="en-US"/>
              </w:rPr>
              <w:t>走向</w:t>
            </w:r>
            <w:r>
              <w:rPr>
                <w:rFonts w:hint="eastAsia" w:ascii="宋体"/>
                <w:sz w:val="24"/>
                <w:lang w:val="en-US" w:eastAsia="zh-CN"/>
              </w:rPr>
              <w:t>“</w:t>
            </w:r>
            <w:r>
              <w:rPr>
                <w:rFonts w:hint="default" w:ascii="宋体"/>
                <w:sz w:val="24"/>
                <w:lang w:val="en-US"/>
              </w:rPr>
              <w:t>连起来、聪明起来</w:t>
            </w:r>
            <w:r>
              <w:rPr>
                <w:rFonts w:hint="eastAsia" w:ascii="宋体"/>
                <w:sz w:val="24"/>
                <w:lang w:val="en-US" w:eastAsia="zh-CN"/>
              </w:rPr>
              <w:t>”</w:t>
            </w:r>
            <w:r>
              <w:rPr>
                <w:rFonts w:hint="default" w:ascii="宋体"/>
                <w:sz w:val="24"/>
                <w:lang w:val="en-US"/>
              </w:rPr>
              <w:t>。公司上半年已推出阳光小智M1智能系列、4G物联网灯控器、48V恒压长距离供电亮化控制设备等新品，覆盖家居、户外和商业场景。第二，技术路线上，我们坚持开放互联而不是封闭生态。欧洲NDL团队已基于Matter协议开发模块化、智能互联产品，公司同时在健康光谱、AI光、人因照明方向加大研发，让灯具成为全屋智能的感知入口和交互节点。第三</w:t>
            </w:r>
            <w:r>
              <w:rPr>
                <w:rFonts w:hint="eastAsia" w:ascii="宋体"/>
                <w:sz w:val="24"/>
                <w:lang w:val="en-US" w:eastAsia="zh-CN"/>
              </w:rPr>
              <w:t>，</w:t>
            </w:r>
            <w:r>
              <w:rPr>
                <w:rFonts w:hint="default" w:ascii="宋体"/>
                <w:sz w:val="24"/>
                <w:lang w:val="en-US"/>
              </w:rPr>
              <w:t>战略定位上，公司不会简单去做家电或平台，而是立足</w:t>
            </w:r>
            <w:r>
              <w:rPr>
                <w:rFonts w:hint="eastAsia" w:ascii="宋体"/>
                <w:sz w:val="24"/>
                <w:lang w:val="en-US" w:eastAsia="zh-CN"/>
              </w:rPr>
              <w:t>“</w:t>
            </w:r>
            <w:r>
              <w:rPr>
                <w:rFonts w:hint="default" w:ascii="宋体"/>
                <w:sz w:val="24"/>
                <w:lang w:val="en-US"/>
              </w:rPr>
              <w:t>照明专家</w:t>
            </w:r>
            <w:r>
              <w:rPr>
                <w:rFonts w:hint="eastAsia" w:ascii="宋体"/>
                <w:sz w:val="24"/>
                <w:lang w:val="en-US" w:eastAsia="zh-CN"/>
              </w:rPr>
              <w:t>”</w:t>
            </w:r>
            <w:r>
              <w:rPr>
                <w:rFonts w:hint="default" w:ascii="宋体"/>
                <w:sz w:val="24"/>
                <w:lang w:val="en-US"/>
              </w:rPr>
              <w:t>，把智能照明解决方案做深，与主流生态平台和客户协同，分享全屋智能的增量。可以说，智能化、健康化是公司照明主业产品结构升级的主线之一，这方面的研发和新品会持续落地。</w:t>
            </w:r>
          </w:p>
        </w:tc>
      </w:tr>
    </w:tbl>
    <w:p w14:paraId="17A31616">
      <w:pPr>
        <w:rPr>
          <w:rFonts w:hint="eastAsia"/>
        </w:rPr>
      </w:pPr>
    </w:p>
    <w:p w14:paraId="72521FC3"/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EDBE56">
    <w:pPr>
      <w:pStyle w:val="2"/>
      <w:tabs>
        <w:tab w:val="clear" w:pos="4153"/>
      </w:tabs>
      <w:jc w:val="right"/>
    </w:pPr>
    <w:r>
      <w:rPr>
        <w:rFonts w:hint="eastAsia"/>
      </w:rPr>
      <w:t>浙江阳光照明电器集团股份有限公司投资者关系活动记录表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I3NTlhNGJhZTk1YmZkMTc2MTM0MTg2MGI3NTFmMTEifQ=="/>
  </w:docVars>
  <w:rsids>
    <w:rsidRoot w:val="00000000"/>
    <w:rsid w:val="015F7C3F"/>
    <w:rsid w:val="1CB2496B"/>
    <w:rsid w:val="1FD151C3"/>
    <w:rsid w:val="2D811081"/>
    <w:rsid w:val="60431679"/>
    <w:rsid w:val="61B42C51"/>
    <w:rsid w:val="670E1BEF"/>
    <w:rsid w:val="7DAB5FF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4">
    <w:name w:val="Table Grid"/>
    <w:basedOn w:val="3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6">
    <w:name w:val="Hyperlink"/>
    <w:basedOn w:val="5"/>
    <w:unhideWhenUsed/>
    <w:qFormat/>
    <w:uiPriority w:val="99"/>
    <w:rPr>
      <w:color w:val="0563C1"/>
      <w:u w:val="single"/>
    </w:rPr>
  </w:style>
  <w:style w:type="paragraph" w:customStyle="1" w:styleId="7">
    <w:name w:val="_Style 6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1030</Words>
  <Characters>1119</Characters>
  <Lines>0</Lines>
  <Paragraphs>0</Paragraphs>
  <TotalTime>2</TotalTime>
  <ScaleCrop>false</ScaleCrop>
  <LinksUpToDate>false</LinksUpToDate>
  <CharactersWithSpaces>1152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2023-06-30T02:03:00Z</dcterms:created>
  <dc:creator>Administrator</dc:creator>
  <cp:lastModifiedBy>戴毅清-阳光</cp:lastModifiedBy>
  <dcterms:modified xsi:type="dcterms:W3CDTF">2026-09-18T07:11:03Z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206AE53BCAC34F7CA84DD93C37B74B49_13</vt:lpwstr>
  </property>
  <property fmtid="{D5CDD505-2E9C-101B-9397-08002B2CF9AE}" pid="4" name="KSOTemplateDocerSaveRecord">
    <vt:lpwstr>eyJoZGlkIjoiOGJjNjc0ZmNmZWQzZjRhMmU0MTk1NGYyMGE5MjViNmEiLCJ1c2VySWQiOiIyNTQ0ODE3NTgifQ==</vt:lpwstr>
  </property>
</Properties>
</file>