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1C62">
      <w:pPr>
        <w:rPr>
          <w:rFonts w:ascii="宋体" w:hAnsi="宋体" w:eastAsia="宋体"/>
          <w:sz w:val="24"/>
          <w:szCs w:val="24"/>
        </w:rPr>
      </w:pPr>
      <w:r>
        <w:rPr>
          <w:rFonts w:hint="eastAsia" w:ascii="宋体" w:hAnsi="宋体" w:eastAsia="宋体"/>
          <w:sz w:val="24"/>
          <w:szCs w:val="24"/>
        </w:rPr>
        <w:t>证券代码：</w:t>
      </w:r>
      <w:r>
        <w:rPr>
          <w:rFonts w:ascii="宋体" w:hAnsi="宋体" w:eastAsia="宋体"/>
          <w:sz w:val="24"/>
          <w:szCs w:val="24"/>
        </w:rPr>
        <w:t xml:space="preserve">600332                                     </w:t>
      </w:r>
      <w:r>
        <w:rPr>
          <w:rFonts w:hint="eastAsia" w:ascii="宋体" w:hAnsi="宋体" w:eastAsia="宋体"/>
          <w:sz w:val="24"/>
          <w:szCs w:val="24"/>
        </w:rPr>
        <w:t>证券简称：白云山</w:t>
      </w:r>
    </w:p>
    <w:p w14:paraId="127F6F20">
      <w:pPr>
        <w:rPr>
          <w:rFonts w:ascii="宋体" w:hAnsi="宋体" w:eastAsia="宋体"/>
          <w:sz w:val="24"/>
          <w:szCs w:val="24"/>
        </w:rPr>
      </w:pPr>
    </w:p>
    <w:p w14:paraId="65BCB62A">
      <w:pPr>
        <w:jc w:val="center"/>
        <w:rPr>
          <w:rFonts w:ascii="宋体" w:hAnsi="宋体" w:eastAsia="宋体"/>
          <w:b/>
          <w:sz w:val="28"/>
          <w:szCs w:val="24"/>
        </w:rPr>
      </w:pPr>
      <w:r>
        <w:rPr>
          <w:rFonts w:hint="eastAsia" w:ascii="宋体" w:hAnsi="宋体" w:eastAsia="宋体"/>
          <w:b/>
          <w:sz w:val="28"/>
          <w:szCs w:val="24"/>
        </w:rPr>
        <w:t>广州白云山医药集团股份有限公司</w:t>
      </w:r>
    </w:p>
    <w:p w14:paraId="27289ED4">
      <w:pPr>
        <w:jc w:val="center"/>
        <w:rPr>
          <w:rFonts w:ascii="宋体" w:hAnsi="宋体" w:eastAsia="宋体"/>
          <w:b/>
          <w:sz w:val="28"/>
          <w:szCs w:val="24"/>
        </w:rPr>
      </w:pPr>
      <w:r>
        <w:rPr>
          <w:rFonts w:hint="eastAsia" w:ascii="宋体" w:hAnsi="宋体" w:eastAsia="宋体"/>
          <w:b/>
          <w:sz w:val="28"/>
          <w:szCs w:val="24"/>
        </w:rPr>
        <w:t>投资者关系活动记录表</w:t>
      </w:r>
    </w:p>
    <w:p w14:paraId="35A40147">
      <w:pPr>
        <w:rPr>
          <w:rFonts w:ascii="宋体" w:hAnsi="宋体" w:eastAsia="宋体"/>
          <w:sz w:val="24"/>
          <w:szCs w:val="24"/>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600"/>
      </w:tblGrid>
      <w:tr w14:paraId="4A24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1696" w:type="dxa"/>
            <w:vAlign w:val="center"/>
          </w:tcPr>
          <w:p w14:paraId="0E6775B3">
            <w:pPr>
              <w:jc w:val="center"/>
              <w:rPr>
                <w:rFonts w:ascii="宋体" w:hAnsi="宋体" w:eastAsia="宋体"/>
                <w:sz w:val="24"/>
                <w:szCs w:val="24"/>
              </w:rPr>
            </w:pPr>
            <w:r>
              <w:rPr>
                <w:rFonts w:hint="eastAsia" w:ascii="宋体" w:hAnsi="宋体" w:eastAsia="宋体"/>
                <w:sz w:val="24"/>
                <w:szCs w:val="24"/>
              </w:rPr>
              <w:t>投资者关系活动类别</w:t>
            </w:r>
          </w:p>
        </w:tc>
        <w:tc>
          <w:tcPr>
            <w:tcW w:w="6600" w:type="dxa"/>
          </w:tcPr>
          <w:p w14:paraId="085E8532">
            <w:pPr>
              <w:spacing w:line="360" w:lineRule="auto"/>
              <w:rPr>
                <w:rFonts w:ascii="宋体" w:hAnsi="宋体" w:eastAsia="宋体"/>
                <w:sz w:val="24"/>
                <w:szCs w:val="24"/>
              </w:rPr>
            </w:pPr>
            <w:r>
              <w:rPr>
                <w:rFonts w:ascii="宋体" w:hAnsi="宋体" w:eastAsia="宋体"/>
                <w:sz w:val="24"/>
                <w:szCs w:val="24"/>
              </w:rPr>
              <w:sym w:font="Wingdings 2" w:char="00A3"/>
            </w:r>
            <w:r>
              <w:rPr>
                <w:rFonts w:ascii="宋体" w:hAnsi="宋体" w:eastAsia="宋体"/>
                <w:sz w:val="24"/>
                <w:szCs w:val="24"/>
              </w:rPr>
              <w:t xml:space="preserve">特定对象调研 </w:t>
            </w:r>
            <w:r>
              <w:rPr>
                <w:rFonts w:ascii="宋体" w:hAnsi="宋体" w:eastAsia="宋体"/>
                <w:sz w:val="24"/>
                <w:szCs w:val="24"/>
              </w:rPr>
              <w:sym w:font="Wingdings 2" w:char="00A3"/>
            </w:r>
            <w:r>
              <w:rPr>
                <w:rFonts w:ascii="宋体" w:hAnsi="宋体" w:eastAsia="宋体"/>
                <w:sz w:val="24"/>
                <w:szCs w:val="24"/>
              </w:rPr>
              <w:t xml:space="preserve">分析师会议 </w:t>
            </w:r>
          </w:p>
          <w:p w14:paraId="06C7171F">
            <w:pPr>
              <w:spacing w:line="360" w:lineRule="auto"/>
              <w:rPr>
                <w:rFonts w:ascii="宋体" w:hAnsi="宋体" w:eastAsia="宋体"/>
                <w:sz w:val="24"/>
                <w:szCs w:val="24"/>
              </w:rPr>
            </w:pPr>
            <w:r>
              <w:rPr>
                <w:rFonts w:ascii="宋体" w:hAnsi="宋体" w:eastAsia="宋体"/>
                <w:sz w:val="24"/>
                <w:szCs w:val="24"/>
              </w:rPr>
              <w:sym w:font="Wingdings 2" w:char="00A3"/>
            </w:r>
            <w:r>
              <w:rPr>
                <w:rFonts w:ascii="宋体" w:hAnsi="宋体" w:eastAsia="宋体"/>
                <w:sz w:val="24"/>
                <w:szCs w:val="24"/>
              </w:rPr>
              <w:t xml:space="preserve">媒体采访 </w:t>
            </w:r>
            <w:r>
              <w:rPr>
                <w:rFonts w:ascii="宋体" w:hAnsi="宋体" w:eastAsia="宋体"/>
                <w:sz w:val="24"/>
                <w:szCs w:val="24"/>
              </w:rPr>
              <w:sym w:font="Wingdings 2" w:char="0052"/>
            </w:r>
            <w:r>
              <w:rPr>
                <w:rFonts w:ascii="宋体" w:hAnsi="宋体" w:eastAsia="宋体"/>
                <w:sz w:val="24"/>
                <w:szCs w:val="24"/>
              </w:rPr>
              <w:t xml:space="preserve">业绩说明会 </w:t>
            </w:r>
          </w:p>
          <w:p w14:paraId="22D3BE0A">
            <w:pPr>
              <w:spacing w:line="360" w:lineRule="auto"/>
              <w:rPr>
                <w:rFonts w:ascii="宋体" w:hAnsi="宋体" w:eastAsia="宋体"/>
                <w:sz w:val="24"/>
                <w:szCs w:val="24"/>
              </w:rPr>
            </w:pPr>
            <w:r>
              <w:rPr>
                <w:rFonts w:ascii="宋体" w:hAnsi="宋体" w:eastAsia="宋体"/>
                <w:sz w:val="24"/>
                <w:szCs w:val="24"/>
              </w:rPr>
              <w:t>□新闻发布会</w:t>
            </w:r>
            <w:r>
              <w:rPr>
                <w:rFonts w:hint="eastAsia" w:ascii="宋体" w:hAnsi="宋体" w:eastAsia="宋体"/>
                <w:sz w:val="24"/>
                <w:szCs w:val="24"/>
              </w:rPr>
              <w:t xml:space="preserve"> </w:t>
            </w:r>
            <w:r>
              <w:rPr>
                <w:rFonts w:ascii="宋体" w:hAnsi="宋体" w:eastAsia="宋体"/>
                <w:sz w:val="24"/>
                <w:szCs w:val="24"/>
              </w:rPr>
              <w:sym w:font="Wingdings 2" w:char="00A3"/>
            </w:r>
            <w:r>
              <w:rPr>
                <w:rFonts w:ascii="宋体" w:hAnsi="宋体" w:eastAsia="宋体"/>
                <w:sz w:val="24"/>
                <w:szCs w:val="24"/>
              </w:rPr>
              <w:t xml:space="preserve">路演活动 </w:t>
            </w:r>
          </w:p>
          <w:p w14:paraId="5CE86780">
            <w:pPr>
              <w:spacing w:line="360" w:lineRule="auto"/>
              <w:rPr>
                <w:rFonts w:ascii="宋体" w:hAnsi="宋体" w:eastAsia="宋体"/>
                <w:sz w:val="24"/>
                <w:szCs w:val="24"/>
              </w:rPr>
            </w:pPr>
            <w:r>
              <w:rPr>
                <w:rFonts w:ascii="宋体" w:hAnsi="宋体" w:eastAsia="宋体"/>
                <w:sz w:val="24"/>
                <w:szCs w:val="24"/>
              </w:rPr>
              <w:sym w:font="Wingdings 2" w:char="00A3"/>
            </w:r>
            <w:r>
              <w:rPr>
                <w:rFonts w:ascii="宋体" w:hAnsi="宋体" w:eastAsia="宋体"/>
                <w:sz w:val="24"/>
                <w:szCs w:val="24"/>
              </w:rPr>
              <w:t>现场参观</w:t>
            </w:r>
            <w:r>
              <w:rPr>
                <w:rFonts w:hint="eastAsia" w:ascii="宋体" w:hAnsi="宋体" w:eastAsia="宋体"/>
                <w:sz w:val="24"/>
                <w:szCs w:val="24"/>
              </w:rPr>
              <w:t xml:space="preserve"> </w:t>
            </w:r>
            <w:r>
              <w:rPr>
                <w:rFonts w:ascii="宋体" w:hAnsi="宋体" w:eastAsia="宋体"/>
                <w:sz w:val="24"/>
                <w:szCs w:val="24"/>
              </w:rPr>
              <w:sym w:font="Wingdings 2" w:char="00A3"/>
            </w:r>
            <w:r>
              <w:rPr>
                <w:rFonts w:ascii="宋体" w:hAnsi="宋体" w:eastAsia="宋体"/>
                <w:sz w:val="24"/>
                <w:szCs w:val="24"/>
              </w:rPr>
              <w:t>其他</w:t>
            </w:r>
          </w:p>
        </w:tc>
      </w:tr>
      <w:tr w14:paraId="0239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5E5F811C">
            <w:pPr>
              <w:jc w:val="center"/>
              <w:rPr>
                <w:rFonts w:ascii="宋体" w:hAnsi="宋体" w:eastAsia="宋体"/>
                <w:sz w:val="24"/>
                <w:szCs w:val="24"/>
              </w:rPr>
            </w:pPr>
            <w:r>
              <w:rPr>
                <w:rFonts w:ascii="宋体" w:hAnsi="宋体" w:eastAsia="宋体"/>
                <w:sz w:val="24"/>
                <w:szCs w:val="24"/>
              </w:rPr>
              <w:t>召开方式</w:t>
            </w:r>
          </w:p>
        </w:tc>
        <w:tc>
          <w:tcPr>
            <w:tcW w:w="6600" w:type="dxa"/>
          </w:tcPr>
          <w:p w14:paraId="2F42643B">
            <w:pPr>
              <w:spacing w:line="360" w:lineRule="auto"/>
              <w:rPr>
                <w:rFonts w:ascii="宋体" w:hAnsi="宋体" w:eastAsia="宋体"/>
                <w:sz w:val="24"/>
                <w:szCs w:val="24"/>
              </w:rPr>
            </w:pPr>
            <w:r>
              <w:rPr>
                <w:rFonts w:hint="eastAsia" w:ascii="宋体" w:hAnsi="宋体" w:eastAsia="宋体"/>
                <w:sz w:val="24"/>
                <w:szCs w:val="24"/>
                <w:lang w:val="en-US" w:eastAsia="zh-CN"/>
              </w:rPr>
              <w:t>视频+网络文字互动</w:t>
            </w:r>
          </w:p>
        </w:tc>
      </w:tr>
      <w:tr w14:paraId="3935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5955FDB2">
            <w:pPr>
              <w:jc w:val="center"/>
              <w:rPr>
                <w:rFonts w:ascii="宋体" w:hAnsi="宋体" w:eastAsia="宋体"/>
                <w:sz w:val="24"/>
                <w:szCs w:val="24"/>
              </w:rPr>
            </w:pPr>
            <w:r>
              <w:rPr>
                <w:rFonts w:hint="eastAsia" w:ascii="宋体" w:hAnsi="宋体" w:eastAsia="宋体"/>
                <w:sz w:val="24"/>
                <w:szCs w:val="24"/>
              </w:rPr>
              <w:t>时间</w:t>
            </w:r>
          </w:p>
        </w:tc>
        <w:tc>
          <w:tcPr>
            <w:tcW w:w="6600" w:type="dxa"/>
          </w:tcPr>
          <w:p w14:paraId="36786B79">
            <w:pPr>
              <w:spacing w:line="360" w:lineRule="auto"/>
              <w:rPr>
                <w:rFonts w:ascii="宋体" w:hAnsi="宋体" w:eastAsia="宋体"/>
                <w:sz w:val="24"/>
                <w:szCs w:val="24"/>
              </w:rPr>
            </w:pPr>
            <w:r>
              <w:rPr>
                <w:rFonts w:ascii="宋体" w:hAnsi="宋体" w:eastAsia="宋体"/>
                <w:sz w:val="24"/>
                <w:szCs w:val="24"/>
              </w:rPr>
              <w:t>202</w:t>
            </w:r>
            <w:r>
              <w:rPr>
                <w:rFonts w:hint="eastAsia" w:ascii="宋体" w:hAnsi="宋体" w:eastAsia="宋体"/>
                <w:sz w:val="24"/>
                <w:szCs w:val="24"/>
              </w:rPr>
              <w:t>6</w:t>
            </w:r>
            <w:r>
              <w:rPr>
                <w:rFonts w:ascii="宋体" w:hAnsi="宋体" w:eastAsia="宋体"/>
                <w:sz w:val="24"/>
                <w:szCs w:val="24"/>
              </w:rPr>
              <w:t>年</w:t>
            </w:r>
            <w:r>
              <w:rPr>
                <w:rFonts w:hint="eastAsia" w:ascii="宋体" w:hAnsi="宋体" w:eastAsia="宋体"/>
                <w:sz w:val="24"/>
                <w:szCs w:val="24"/>
                <w:lang w:val="en-US" w:eastAsia="zh-CN"/>
              </w:rPr>
              <w:t>9</w:t>
            </w:r>
            <w:r>
              <w:rPr>
                <w:rFonts w:hint="eastAsia" w:ascii="宋体" w:hAnsi="宋体" w:eastAsia="宋体"/>
                <w:sz w:val="24"/>
                <w:szCs w:val="24"/>
              </w:rPr>
              <w:t>月</w:t>
            </w:r>
            <w:r>
              <w:rPr>
                <w:rFonts w:hint="eastAsia" w:ascii="宋体" w:hAnsi="宋体" w:eastAsia="宋体"/>
                <w:sz w:val="24"/>
                <w:szCs w:val="24"/>
                <w:lang w:val="en-US" w:eastAsia="zh-CN"/>
              </w:rPr>
              <w:t>14</w:t>
            </w:r>
            <w:r>
              <w:rPr>
                <w:rFonts w:hint="eastAsia" w:ascii="宋体" w:hAnsi="宋体" w:eastAsia="宋体"/>
                <w:sz w:val="24"/>
                <w:szCs w:val="24"/>
              </w:rPr>
              <w:t>日</w:t>
            </w:r>
          </w:p>
        </w:tc>
      </w:tr>
      <w:tr w14:paraId="18EA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181ECF82">
            <w:pPr>
              <w:jc w:val="center"/>
              <w:rPr>
                <w:rFonts w:ascii="宋体" w:hAnsi="宋体" w:eastAsia="宋体"/>
                <w:sz w:val="24"/>
                <w:szCs w:val="24"/>
              </w:rPr>
            </w:pPr>
            <w:r>
              <w:rPr>
                <w:rFonts w:hint="eastAsia" w:ascii="宋体" w:hAnsi="宋体" w:eastAsia="宋体"/>
                <w:sz w:val="24"/>
                <w:szCs w:val="24"/>
              </w:rPr>
              <w:t>地点</w:t>
            </w:r>
          </w:p>
        </w:tc>
        <w:tc>
          <w:tcPr>
            <w:tcW w:w="6600" w:type="dxa"/>
          </w:tcPr>
          <w:p w14:paraId="3FC3FCF1">
            <w:pPr>
              <w:spacing w:line="360" w:lineRule="auto"/>
              <w:rPr>
                <w:rFonts w:hint="default" w:ascii="宋体" w:hAnsi="宋体" w:eastAsia="宋体"/>
                <w:sz w:val="24"/>
                <w:szCs w:val="24"/>
                <w:lang w:val="en-US" w:eastAsia="zh-Hans"/>
              </w:rPr>
            </w:pPr>
            <w:r>
              <w:rPr>
                <w:rFonts w:hint="eastAsia" w:ascii="宋体" w:hAnsi="宋体" w:eastAsia="宋体"/>
                <w:sz w:val="24"/>
                <w:szCs w:val="24"/>
                <w:lang w:val="en-US" w:eastAsia="zh-CN"/>
              </w:rPr>
              <w:t>上证路演中心 https://roadshow.sseinfo.com</w:t>
            </w:r>
          </w:p>
        </w:tc>
      </w:tr>
      <w:tr w14:paraId="3845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96" w:type="dxa"/>
            <w:vAlign w:val="center"/>
          </w:tcPr>
          <w:p w14:paraId="339140B8">
            <w:pPr>
              <w:jc w:val="center"/>
              <w:rPr>
                <w:rFonts w:ascii="宋体" w:hAnsi="宋体" w:eastAsia="宋体"/>
                <w:sz w:val="24"/>
                <w:szCs w:val="24"/>
              </w:rPr>
            </w:pPr>
            <w:r>
              <w:rPr>
                <w:rFonts w:hint="eastAsia" w:ascii="宋体" w:hAnsi="宋体" w:eastAsia="宋体"/>
                <w:sz w:val="24"/>
                <w:szCs w:val="24"/>
              </w:rPr>
              <w:t>公司参与人员</w:t>
            </w:r>
          </w:p>
        </w:tc>
        <w:tc>
          <w:tcPr>
            <w:tcW w:w="6600" w:type="dxa"/>
          </w:tcPr>
          <w:p w14:paraId="071A9704">
            <w:pPr>
              <w:spacing w:line="360" w:lineRule="auto"/>
              <w:rPr>
                <w:rFonts w:hint="eastAsia" w:ascii="宋体" w:hAnsi="宋体" w:eastAsia="宋体"/>
                <w:sz w:val="24"/>
                <w:szCs w:val="24"/>
                <w:lang w:val="en-US" w:eastAsia="zh-CN"/>
              </w:rPr>
            </w:pPr>
            <w:r>
              <w:rPr>
                <w:rFonts w:hint="eastAsia" w:ascii="宋体" w:hAnsi="宋体" w:eastAsia="宋体"/>
                <w:sz w:val="24"/>
                <w:szCs w:val="24"/>
              </w:rPr>
              <w:t>副董事长兼总经理袁诚</w:t>
            </w:r>
            <w:r>
              <w:rPr>
                <w:rFonts w:hint="eastAsia" w:ascii="宋体" w:hAnsi="宋体" w:eastAsia="宋体"/>
                <w:sz w:val="24"/>
                <w:szCs w:val="24"/>
                <w:lang w:val="en-US" w:eastAsia="zh-CN"/>
              </w:rPr>
              <w:t>先生</w:t>
            </w:r>
            <w:r>
              <w:rPr>
                <w:rFonts w:hint="eastAsia" w:ascii="宋体" w:hAnsi="宋体" w:eastAsia="宋体"/>
                <w:sz w:val="24"/>
                <w:szCs w:val="24"/>
              </w:rPr>
              <w:t>、独立董事吴向能</w:t>
            </w:r>
            <w:r>
              <w:rPr>
                <w:rFonts w:hint="eastAsia" w:ascii="宋体" w:hAnsi="宋体" w:eastAsia="宋体"/>
                <w:sz w:val="24"/>
                <w:szCs w:val="24"/>
                <w:lang w:val="en-US" w:eastAsia="zh-CN"/>
              </w:rPr>
              <w:t>先生</w:t>
            </w:r>
            <w:r>
              <w:rPr>
                <w:rFonts w:hint="eastAsia" w:ascii="宋体" w:hAnsi="宋体" w:eastAsia="宋体"/>
                <w:sz w:val="24"/>
                <w:szCs w:val="24"/>
              </w:rPr>
              <w:t>、董事会秘书黄雪贞</w:t>
            </w:r>
            <w:r>
              <w:rPr>
                <w:rFonts w:hint="eastAsia" w:ascii="宋体" w:hAnsi="宋体" w:eastAsia="宋体"/>
                <w:sz w:val="24"/>
                <w:szCs w:val="24"/>
                <w:lang w:val="en-US" w:eastAsia="zh-CN"/>
              </w:rPr>
              <w:t>女士</w:t>
            </w:r>
            <w:r>
              <w:rPr>
                <w:rFonts w:hint="eastAsia" w:ascii="宋体" w:hAnsi="宋体" w:eastAsia="宋体"/>
                <w:sz w:val="24"/>
                <w:szCs w:val="24"/>
              </w:rPr>
              <w:t>、财务总监刘菲</w:t>
            </w:r>
            <w:r>
              <w:rPr>
                <w:rFonts w:hint="eastAsia" w:ascii="宋体" w:hAnsi="宋体" w:eastAsia="宋体"/>
                <w:sz w:val="24"/>
                <w:szCs w:val="24"/>
                <w:lang w:val="en-US" w:eastAsia="zh-CN"/>
              </w:rPr>
              <w:t>女士</w:t>
            </w:r>
          </w:p>
        </w:tc>
      </w:tr>
      <w:tr w14:paraId="39CA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96" w:type="dxa"/>
            <w:vAlign w:val="center"/>
          </w:tcPr>
          <w:p w14:paraId="6C1FA352">
            <w:pPr>
              <w:spacing w:line="360" w:lineRule="auto"/>
              <w:jc w:val="center"/>
              <w:rPr>
                <w:rFonts w:ascii="宋体" w:hAnsi="宋体" w:eastAsia="宋体"/>
                <w:sz w:val="24"/>
                <w:szCs w:val="24"/>
                <w:lang w:eastAsia="zh-Hans"/>
              </w:rPr>
            </w:pPr>
            <w:r>
              <w:rPr>
                <w:rFonts w:hint="eastAsia" w:ascii="宋体" w:hAnsi="宋体" w:eastAsia="宋体"/>
                <w:sz w:val="24"/>
                <w:szCs w:val="24"/>
                <w:lang w:eastAsia="zh-Hans"/>
              </w:rPr>
              <w:t>接待人员</w:t>
            </w:r>
          </w:p>
        </w:tc>
        <w:tc>
          <w:tcPr>
            <w:tcW w:w="6600" w:type="dxa"/>
          </w:tcPr>
          <w:p w14:paraId="450BBB20">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全体股东</w:t>
            </w:r>
          </w:p>
        </w:tc>
      </w:tr>
      <w:tr w14:paraId="20F5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1696" w:type="dxa"/>
            <w:vAlign w:val="center"/>
          </w:tcPr>
          <w:p w14:paraId="616F96AF">
            <w:pPr>
              <w:jc w:val="center"/>
              <w:rPr>
                <w:rFonts w:ascii="宋体" w:hAnsi="宋体" w:eastAsia="宋体"/>
                <w:sz w:val="24"/>
                <w:szCs w:val="24"/>
              </w:rPr>
            </w:pPr>
            <w:r>
              <w:rPr>
                <w:rFonts w:ascii="宋体" w:hAnsi="宋体" w:eastAsia="宋体"/>
                <w:sz w:val="24"/>
                <w:szCs w:val="24"/>
              </w:rPr>
              <w:t>投资者关系活动主要内容介绍</w:t>
            </w:r>
          </w:p>
        </w:tc>
        <w:tc>
          <w:tcPr>
            <w:tcW w:w="6600" w:type="dxa"/>
          </w:tcPr>
          <w:p w14:paraId="64015FF5">
            <w:pPr>
              <w:widowControl/>
              <w:spacing w:line="500" w:lineRule="exact"/>
              <w:ind w:firstLine="480" w:firstLineChars="200"/>
              <w:jc w:val="left"/>
              <w:rPr>
                <w:rFonts w:ascii="Times New Roman" w:hAnsi="Times New Roman" w:eastAsia="仿宋_GB2312"/>
                <w:sz w:val="24"/>
                <w:szCs w:val="24"/>
              </w:rPr>
            </w:pPr>
            <w:r>
              <w:rPr>
                <w:rFonts w:ascii="Times New Roman" w:hAnsi="Times New Roman" w:eastAsia="仿宋_GB2312"/>
                <w:sz w:val="24"/>
                <w:szCs w:val="24"/>
              </w:rPr>
              <w:t>主要内容包括：</w:t>
            </w:r>
          </w:p>
          <w:p w14:paraId="49AC5832">
            <w:pPr>
              <w:pStyle w:val="2"/>
              <w:spacing w:line="500" w:lineRule="exact"/>
              <w:ind w:firstLine="482" w:firstLineChars="200"/>
              <w:rPr>
                <w:rFonts w:hint="eastAsia" w:ascii="Times New Roman" w:hAnsi="Times New Roman" w:eastAsia="仿宋_GB2312"/>
                <w:b/>
                <w:bCs/>
                <w:kern w:val="0"/>
                <w:sz w:val="24"/>
                <w:szCs w:val="24"/>
                <w:lang w:eastAsia="zh-CN"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一</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公司</w:t>
            </w:r>
            <w:r>
              <w:rPr>
                <w:rFonts w:hint="eastAsia" w:ascii="Times New Roman" w:hAnsi="Times New Roman" w:eastAsia="仿宋_GB2312"/>
                <w:b/>
                <w:bCs/>
                <w:kern w:val="0"/>
                <w:sz w:val="24"/>
                <w:szCs w:val="24"/>
                <w:lang w:eastAsia="zh-CN" w:bidi="ar"/>
              </w:rPr>
              <w:t>今年年度分红会增加吗？</w:t>
            </w:r>
          </w:p>
          <w:p w14:paraId="37EFFC3E">
            <w:pPr>
              <w:pStyle w:val="2"/>
              <w:spacing w:line="500" w:lineRule="exact"/>
              <w:ind w:firstLine="480" w:firstLineChars="200"/>
              <w:rPr>
                <w:rFonts w:hint="eastAsia" w:ascii="Times New Roman" w:hAnsi="Times New Roman" w:eastAsia="仿宋_GB2312"/>
                <w:b w:val="0"/>
                <w:bCs w:val="0"/>
                <w:kern w:val="0"/>
                <w:sz w:val="24"/>
                <w:szCs w:val="24"/>
                <w:lang w:eastAsia="zh-CN" w:bidi="ar"/>
              </w:rPr>
            </w:pPr>
            <w:r>
              <w:rPr>
                <w:rFonts w:hint="eastAsia" w:ascii="Times New Roman" w:hAnsi="Times New Roman" w:eastAsia="仿宋_GB2312"/>
                <w:b w:val="0"/>
                <w:bCs w:val="0"/>
                <w:kern w:val="0"/>
                <w:sz w:val="24"/>
                <w:szCs w:val="24"/>
                <w:lang w:eastAsia="zh-CN" w:bidi="ar"/>
              </w:rPr>
              <w:t>答：自2013年完成重大资产重组以来至今，公司共实施现金分红16次（含已宣发），分红金额达114亿元（含已宣发）。2026年中期利润分配方案结合了公司发展阶段、未来资金需求等因素，每股派发现金红利0.3元（含税），现金分红金额约为4.88亿元。未来，公司仍将保持稳定、合理、持续的分红政策，在兼顾公司长远发展和资金需求的前提下，持续为投资者提供稳定的投资回报，全年分红比例将结合公司全年实际经营情况、未来发展资金需求统筹确定。</w:t>
            </w:r>
          </w:p>
          <w:p w14:paraId="7D1BD73C">
            <w:pPr>
              <w:pStyle w:val="2"/>
              <w:spacing w:line="500" w:lineRule="exact"/>
              <w:ind w:firstLine="482" w:firstLineChars="200"/>
              <w:rPr>
                <w:rFonts w:hint="eastAsia" w:ascii="Times New Roman" w:hAnsi="Times New Roman" w:eastAsia="仿宋_GB2312"/>
                <w:b/>
                <w:bCs/>
                <w:kern w:val="0"/>
                <w:sz w:val="24"/>
                <w:szCs w:val="24"/>
                <w:lang w:eastAsia="zh-CN" w:bidi="ar"/>
              </w:rPr>
            </w:pPr>
          </w:p>
          <w:p w14:paraId="237A797E">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二</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2026 年上半年，公司利润存在一定回落，二季度表现相对更为明显，请问主要影响因素是什么？</w:t>
            </w:r>
          </w:p>
          <w:p w14:paraId="3137437A">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受行业政策、消费习惯改变、市场竞争加剧等因素影响，2026年</w:t>
            </w:r>
            <w:r>
              <w:rPr>
                <w:rFonts w:hint="eastAsia" w:ascii="Times New Roman" w:hAnsi="Times New Roman" w:eastAsia="仿宋_GB2312"/>
                <w:b w:val="0"/>
                <w:bCs w:val="0"/>
                <w:kern w:val="0"/>
                <w:sz w:val="24"/>
                <w:szCs w:val="24"/>
                <w:lang w:val="en-US" w:eastAsia="zh-CN" w:bidi="ar"/>
              </w:rPr>
              <w:t>上半年</w:t>
            </w:r>
            <w:r>
              <w:rPr>
                <w:rFonts w:hint="eastAsia" w:ascii="Times New Roman" w:hAnsi="Times New Roman" w:eastAsia="仿宋_GB2312"/>
                <w:b w:val="0"/>
                <w:bCs w:val="0"/>
                <w:kern w:val="0"/>
                <w:sz w:val="24"/>
                <w:szCs w:val="24"/>
                <w:lang w:bidi="ar"/>
              </w:rPr>
              <w:t>公司现代中药、化药科技、天然饮品的主营业务收入均有所下滑，致使利润下滑。目前</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公司正在大力推进业务优化、营销改革、资源整合</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同时</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根据“十五五”规划公司将大力推进现代化、数字化、科技化、国际化发展，推动现代中药、化药科技、天然饮品、医药商业四大基石业务板块稳中求进、提质增效。</w:t>
            </w:r>
          </w:p>
          <w:p w14:paraId="45B418E9">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482A3D49">
            <w:pPr>
              <w:pStyle w:val="2"/>
              <w:spacing w:line="500" w:lineRule="exact"/>
              <w:ind w:firstLine="482" w:firstLineChars="200"/>
              <w:rPr>
                <w:rFonts w:hint="eastAsia" w:ascii="Times New Roman" w:hAnsi="Times New Roman" w:eastAsia="仿宋_GB2312"/>
                <w:b/>
                <w:bCs/>
                <w:kern w:val="0"/>
                <w:sz w:val="24"/>
                <w:szCs w:val="24"/>
                <w:lang w:eastAsia="zh-CN"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三</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请问公司会采取哪些举措优化整体盈利结构</w:t>
            </w:r>
            <w:r>
              <w:rPr>
                <w:rFonts w:hint="eastAsia" w:ascii="Times New Roman" w:hAnsi="Times New Roman" w:eastAsia="仿宋_GB2312"/>
                <w:b/>
                <w:bCs/>
                <w:kern w:val="0"/>
                <w:sz w:val="24"/>
                <w:szCs w:val="24"/>
                <w:lang w:eastAsia="zh-CN" w:bidi="ar"/>
              </w:rPr>
              <w:t>？</w:t>
            </w:r>
          </w:p>
          <w:p w14:paraId="767E2815">
            <w:pPr>
              <w:pStyle w:val="2"/>
              <w:spacing w:line="500" w:lineRule="exact"/>
              <w:ind w:firstLine="480"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将依托数字化手段，加快推动营销体系改革与大单品培育工程，促进现代中药及化药科技存量业务持续发展；重点推进即饮餐饮终端拓展、新品开发及国际化布局，在巩固天然饮品业务既有优势的基础上，积极打造新的增长点；同时，通过优化品类品种结构、提升高毛品种经营占比，加速拓展医疗器械、消费者健康等高毛利业务，持续提升医药商业毛利率。</w:t>
            </w:r>
          </w:p>
          <w:p w14:paraId="137E552F">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175D2509">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四</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在经营性现金流有所承压的情况下，公司有息负债规模同比增长，请问相关资金的用途是什么？后续公司计划通过哪些举措优化营运资金周转，平衡日常经营运营与债务管控风险？</w:t>
            </w:r>
          </w:p>
          <w:p w14:paraId="6FA08397">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新增借款主要用于下属企业补充日常流动资金，以缓解应收账款等形成的资金沉淀压力，保障生产、采购等日常经营活动有序开展。公司将强化</w:t>
            </w:r>
            <w:r>
              <w:rPr>
                <w:rFonts w:hint="eastAsia" w:ascii="Times New Roman" w:hAnsi="Times New Roman" w:eastAsia="仿宋_GB2312"/>
                <w:b w:val="0"/>
                <w:bCs w:val="0"/>
                <w:kern w:val="0"/>
                <w:sz w:val="24"/>
                <w:szCs w:val="24"/>
                <w:lang w:eastAsia="zh-CN" w:bidi="ar"/>
              </w:rPr>
              <w:t>应收账款</w:t>
            </w:r>
            <w:r>
              <w:rPr>
                <w:rFonts w:hint="eastAsia" w:ascii="Times New Roman" w:hAnsi="Times New Roman" w:eastAsia="仿宋_GB2312"/>
                <w:b w:val="0"/>
                <w:bCs w:val="0"/>
                <w:kern w:val="0"/>
                <w:sz w:val="24"/>
                <w:szCs w:val="24"/>
                <w:lang w:bidi="ar"/>
              </w:rPr>
              <w:t>与信用管理，同时灵活运用应收账款资产证券化（ABS）、应收保理等多元化金融工具，持续提升资金统筹效率、优化债务结构。</w:t>
            </w:r>
          </w:p>
          <w:p w14:paraId="21D91752">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3BA3F3FF">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五</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2025年公司研发费用有所下滑，而2026年</w:t>
            </w:r>
            <w:r>
              <w:rPr>
                <w:rFonts w:hint="eastAsia" w:ascii="Times New Roman" w:hAnsi="Times New Roman" w:eastAsia="仿宋_GB2312"/>
                <w:b/>
                <w:bCs/>
                <w:kern w:val="0"/>
                <w:sz w:val="24"/>
                <w:szCs w:val="24"/>
                <w:lang w:bidi="ar"/>
              </w:rPr>
              <w:t>上半年</w:t>
            </w:r>
            <w:r>
              <w:rPr>
                <w:rFonts w:hint="eastAsia" w:ascii="Times New Roman" w:hAnsi="Times New Roman" w:eastAsia="仿宋_GB2312"/>
                <w:b/>
                <w:bCs/>
                <w:kern w:val="0"/>
                <w:sz w:val="24"/>
                <w:szCs w:val="24"/>
                <w:lang w:val="en-US" w:eastAsia="zh-CN" w:bidi="ar"/>
              </w:rPr>
              <w:t>研发费用同比增长。</w:t>
            </w:r>
            <w:r>
              <w:rPr>
                <w:rFonts w:hint="eastAsia" w:ascii="Times New Roman" w:hAnsi="Times New Roman" w:eastAsia="仿宋_GB2312"/>
                <w:b/>
                <w:bCs/>
                <w:kern w:val="0"/>
                <w:sz w:val="24"/>
                <w:szCs w:val="24"/>
                <w:lang w:bidi="ar"/>
              </w:rPr>
              <w:t>目前</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公司布局了160多项在研项目，其中包含11项1类创新药，</w:t>
            </w:r>
            <w:r>
              <w:rPr>
                <w:rFonts w:hint="eastAsia" w:ascii="Times New Roman" w:hAnsi="Times New Roman" w:eastAsia="仿宋_GB2312"/>
                <w:b/>
                <w:bCs/>
                <w:kern w:val="0"/>
                <w:sz w:val="24"/>
                <w:szCs w:val="24"/>
                <w:lang w:val="en-US" w:eastAsia="zh-CN" w:bidi="ar"/>
              </w:rPr>
              <w:t>现阶段投入</w:t>
            </w:r>
            <w:r>
              <w:rPr>
                <w:rFonts w:hint="eastAsia" w:ascii="Times New Roman" w:hAnsi="Times New Roman" w:eastAsia="仿宋_GB2312"/>
                <w:b/>
                <w:bCs/>
                <w:kern w:val="0"/>
                <w:sz w:val="24"/>
                <w:szCs w:val="24"/>
                <w:lang w:bidi="ar"/>
              </w:rPr>
              <w:t>是否能够充分支撑公司创新药管线的推进节奏，预计创新药业务何时能贡献收入？</w:t>
            </w:r>
          </w:p>
          <w:p w14:paraId="3F83F265">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答：2025年研发费用下降主要是因为部分研发项目阶段性支出下降所致，属于阶段性波动。2026年上半年，公司研发费用同比增长20.36%</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未来</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公司也将进一步加大在科研方面的投入，包括在新品种自研和引进、人才引进与机制建设等方面。创新药无论是自研或引进，进度及结果受多重因素影响，何时能够贡献收入尚存在不确定性</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公司将持续积极推进相关工作，并根据项目进展情况严格按照相关规定及时履行披露义务。</w:t>
            </w:r>
          </w:p>
          <w:p w14:paraId="5184A12A">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06038B2F">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六</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公司已建立超百项BD管线库，请问今年是否有BD交易落地</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预计未来1-2年内有哪些核心品种能够进入商业化阶段或产生实质性业绩贡献？公司如何评估当前研发和数字化转型投入对短期利润的侵蚀与长期价值的平衡？</w:t>
            </w:r>
          </w:p>
          <w:p w14:paraId="0516BA24">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目前</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建成管线项目库超100项，对接调研近50个BD创新药项目，其中超10个创新药管线引进项目已完成立项，治疗领域覆盖多个临床重点需求方向及前沿领域。公司将持续积极推进相关BD工作，因为项目进度及结果受多重因素影响，何时能进入商业化阶段和产生实质性业绩贡献存在不确定性，公司将根据交易进展情况严格按照相关规定及时履行披露义务。公司将持续优化资源配置与投入节奏，努力提升投入产出比，为投资者创造可持续的长期回报。</w:t>
            </w:r>
          </w:p>
          <w:p w14:paraId="16B0D902">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1B9A89CE">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七</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目前，公司在男科领域的产品矩阵的市场份额</w:t>
            </w:r>
            <w:r>
              <w:rPr>
                <w:rFonts w:hint="eastAsia" w:ascii="Times New Roman" w:hAnsi="Times New Roman" w:eastAsia="仿宋_GB2312"/>
                <w:b/>
                <w:bCs/>
                <w:kern w:val="0"/>
                <w:sz w:val="24"/>
                <w:szCs w:val="24"/>
                <w:lang w:val="en-US" w:eastAsia="zh-CN" w:bidi="ar"/>
              </w:rPr>
              <w:t>如何？</w:t>
            </w:r>
            <w:r>
              <w:rPr>
                <w:rFonts w:hint="eastAsia" w:ascii="Times New Roman" w:hAnsi="Times New Roman" w:eastAsia="仿宋_GB2312"/>
                <w:b/>
                <w:bCs/>
                <w:kern w:val="0"/>
                <w:sz w:val="24"/>
                <w:szCs w:val="24"/>
                <w:lang w:bidi="ar"/>
              </w:rPr>
              <w:t>他达拉非+西地那非仿制内卷局面越来越激烈，金戈将如何应对这一局面？</w:t>
            </w:r>
          </w:p>
          <w:p w14:paraId="0CA24B15">
            <w:pPr>
              <w:pStyle w:val="2"/>
              <w:spacing w:line="500" w:lineRule="exact"/>
              <w:ind w:firstLine="480" w:firstLineChars="200"/>
              <w:rPr>
                <w:rFonts w:hint="eastAsia" w:ascii="Times New Roman" w:hAnsi="Times New Roman" w:eastAsia="仿宋_GB2312"/>
                <w:b w:val="0"/>
                <w:bCs w:val="0"/>
                <w:kern w:val="0"/>
                <w:sz w:val="24"/>
                <w:szCs w:val="24"/>
                <w:lang w:eastAsia="zh-CN" w:bidi="ar"/>
              </w:rPr>
            </w:pPr>
            <w:r>
              <w:rPr>
                <w:rFonts w:hint="eastAsia" w:ascii="Times New Roman" w:hAnsi="Times New Roman" w:eastAsia="仿宋_GB2312"/>
                <w:b w:val="0"/>
                <w:bCs w:val="0"/>
                <w:kern w:val="0"/>
                <w:sz w:val="24"/>
                <w:szCs w:val="24"/>
                <w:lang w:bidi="ar"/>
              </w:rPr>
              <w:t>答：根据米内网终端统计数据，2026年一季度公司枸橼酸西地那非片（商品名称“金戈”）销售收入位于前列。公司正在积极打造男性健康领域产品矩阵，涵盖多品规药品和器械类产品，形成“内服+外用”的组合方案，满足多样性市场需求，进而提升公司男性健康产品的整体竞争优势。同时，公司也在持续加强金戈等男性健康领域产品的价盘管控和终端动销</w:t>
            </w:r>
            <w:r>
              <w:rPr>
                <w:rFonts w:hint="eastAsia" w:ascii="Times New Roman" w:hAnsi="Times New Roman" w:eastAsia="仿宋_GB2312"/>
                <w:b w:val="0"/>
                <w:bCs w:val="0"/>
                <w:kern w:val="0"/>
                <w:sz w:val="24"/>
                <w:szCs w:val="24"/>
                <w:lang w:eastAsia="zh-CN" w:bidi="ar"/>
              </w:rPr>
              <w:t>。</w:t>
            </w:r>
          </w:p>
          <w:p w14:paraId="1C828FD7">
            <w:pPr>
              <w:pStyle w:val="2"/>
              <w:spacing w:line="500" w:lineRule="exact"/>
              <w:rPr>
                <w:rFonts w:hint="eastAsia" w:ascii="Times New Roman" w:hAnsi="Times New Roman" w:eastAsia="仿宋_GB2312"/>
                <w:b w:val="0"/>
                <w:bCs w:val="0"/>
                <w:kern w:val="0"/>
                <w:sz w:val="24"/>
                <w:szCs w:val="24"/>
                <w:lang w:bidi="ar"/>
              </w:rPr>
            </w:pPr>
          </w:p>
          <w:p w14:paraId="23C264A7">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八</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近期</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公司</w:t>
            </w:r>
            <w:r>
              <w:rPr>
                <w:rFonts w:hint="eastAsia" w:ascii="Times New Roman" w:hAnsi="Times New Roman" w:eastAsia="仿宋_GB2312"/>
                <w:b/>
                <w:bCs/>
                <w:kern w:val="0"/>
                <w:sz w:val="24"/>
                <w:szCs w:val="24"/>
                <w:lang w:bidi="ar"/>
              </w:rPr>
              <w:t>王老吉</w:t>
            </w:r>
            <w:r>
              <w:rPr>
                <w:rFonts w:hint="eastAsia" w:ascii="Times New Roman" w:hAnsi="Times New Roman" w:eastAsia="仿宋_GB2312"/>
                <w:b/>
                <w:bCs/>
                <w:kern w:val="0"/>
                <w:sz w:val="24"/>
                <w:szCs w:val="24"/>
                <w:lang w:val="en-US" w:eastAsia="zh-CN" w:bidi="ar"/>
              </w:rPr>
              <w:t>凉茶出海动作密集</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预计海外业务</w:t>
            </w:r>
            <w:r>
              <w:rPr>
                <w:rFonts w:hint="eastAsia" w:ascii="Times New Roman" w:hAnsi="Times New Roman" w:eastAsia="仿宋_GB2312"/>
                <w:b/>
                <w:bCs/>
                <w:kern w:val="0"/>
                <w:sz w:val="24"/>
                <w:szCs w:val="24"/>
                <w:lang w:val="en-US" w:eastAsia="zh-CN" w:bidi="ar"/>
              </w:rPr>
              <w:t>未来可带来多少增量</w:t>
            </w:r>
            <w:r>
              <w:rPr>
                <w:rFonts w:hint="eastAsia" w:ascii="Times New Roman" w:hAnsi="Times New Roman" w:eastAsia="仿宋_GB2312"/>
                <w:b/>
                <w:bCs/>
                <w:kern w:val="0"/>
                <w:sz w:val="24"/>
                <w:szCs w:val="24"/>
                <w:lang w:bidi="ar"/>
              </w:rPr>
              <w:t>？</w:t>
            </w:r>
          </w:p>
          <w:p w14:paraId="144EA40C">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目前王老吉在国内凉茶市场份额居前列。2026年上半年，王老吉海外出口额同比增长较大，主要依托重点市场WALOVI红罐及红瓶持续铺货、海外渠道趋向精细化营运，带来东南亚、欧洲渠道稳步拓展。目前公司天然饮品海外业务处于战略培育扩张期，后续将稳步推动海外收入增长。</w:t>
            </w:r>
          </w:p>
          <w:p w14:paraId="51096F53">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43AC3CFF">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九</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目前</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公司王老吉凉茶</w:t>
            </w:r>
            <w:r>
              <w:rPr>
                <w:rFonts w:hint="eastAsia" w:ascii="Times New Roman" w:hAnsi="Times New Roman" w:eastAsia="仿宋_GB2312"/>
                <w:b/>
                <w:bCs/>
                <w:kern w:val="0"/>
                <w:sz w:val="24"/>
                <w:szCs w:val="24"/>
                <w:lang w:bidi="ar"/>
              </w:rPr>
              <w:t>海外产能布局的资本开支规模如何？预计何时能够实现盈亏平衡并对公司整体利润表产生正向贡献？</w:t>
            </w:r>
          </w:p>
          <w:p w14:paraId="234ACFF8">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天然饮品海外业务目前处于战略培育扩张期，投入主要围绕渠道建设、品牌推广、本土化供应链搭建及合规认证等关键领域。公司采取轻重结合、分步投入的策略，优先在核心市场建立业务基础。目前海外业务在既定预算框架内有序推进，公司将持续平衡好市场投入与盈利节奏的关系，在深耕市场的同时，稳步推动海外业务迈向高质量发展阶段。</w:t>
            </w:r>
          </w:p>
          <w:p w14:paraId="3476E220">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1620EEE6">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十</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目前，公司王老吉</w:t>
            </w:r>
            <w:r>
              <w:rPr>
                <w:rFonts w:hint="eastAsia" w:ascii="Times New Roman" w:hAnsi="Times New Roman" w:eastAsia="仿宋_GB2312"/>
                <w:b/>
                <w:bCs/>
                <w:kern w:val="0"/>
                <w:sz w:val="24"/>
                <w:szCs w:val="24"/>
                <w:lang w:bidi="ar"/>
              </w:rPr>
              <w:t>凉茶</w:t>
            </w:r>
            <w:r>
              <w:rPr>
                <w:rFonts w:hint="eastAsia" w:ascii="Times New Roman" w:hAnsi="Times New Roman" w:eastAsia="仿宋_GB2312"/>
                <w:b/>
                <w:bCs/>
                <w:kern w:val="0"/>
                <w:sz w:val="24"/>
                <w:szCs w:val="24"/>
                <w:lang w:val="en-US" w:eastAsia="zh-CN" w:bidi="ar"/>
              </w:rPr>
              <w:t>处于什么样的</w:t>
            </w:r>
            <w:r>
              <w:rPr>
                <w:rFonts w:hint="eastAsia" w:ascii="Times New Roman" w:hAnsi="Times New Roman" w:eastAsia="仿宋_GB2312"/>
                <w:b/>
                <w:bCs/>
                <w:kern w:val="0"/>
                <w:sz w:val="24"/>
                <w:szCs w:val="24"/>
                <w:lang w:bidi="ar"/>
              </w:rPr>
              <w:t>发展阶段，以及后续板块的经营修复举措。</w:t>
            </w:r>
          </w:p>
          <w:p w14:paraId="7E8B83ED">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当前，饮料行业整体承压，而在植物饮料类目中王老吉大健康市场份额同比有所提升。下一步，公司将推动“1+1+N”国内市场发展策略与“双头雁+雁群”国际市场拓展策略齐头并进，通过开拓存量场景、培育打造新产品系列、推进国际化拓展与数字化转型等重点举措，推动公司天然饮品业务稳定发展。</w:t>
            </w:r>
          </w:p>
          <w:p w14:paraId="298E41C6">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2D372F57">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十一</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医药商业板块的核药业务</w:t>
            </w:r>
            <w:r>
              <w:rPr>
                <w:rFonts w:hint="eastAsia" w:ascii="Times New Roman" w:hAnsi="Times New Roman" w:eastAsia="仿宋_GB2312"/>
                <w:b/>
                <w:bCs/>
                <w:kern w:val="0"/>
                <w:sz w:val="24"/>
                <w:szCs w:val="24"/>
                <w:lang w:val="en-US" w:eastAsia="zh-CN" w:bidi="ar"/>
              </w:rPr>
              <w:t>是否能为公司带来新的增量？</w:t>
            </w:r>
            <w:r>
              <w:rPr>
                <w:rFonts w:hint="eastAsia" w:ascii="Times New Roman" w:hAnsi="Times New Roman" w:eastAsia="仿宋_GB2312"/>
                <w:b/>
                <w:bCs/>
                <w:kern w:val="0"/>
                <w:sz w:val="24"/>
                <w:szCs w:val="24"/>
                <w:lang w:bidi="ar"/>
              </w:rPr>
              <w:t>公司在医药商业板块还有哪些新的业务布局？</w:t>
            </w:r>
          </w:p>
          <w:p w14:paraId="283EB641">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目前</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所涉及核药业务主要为核药配送业务，下属广州医药正积极协同上游供应商及医疗机构，共同推进患者教育、临床用药与诊疗服务一体化建设，进一步强化产业链合作。目前，广州医药已申请超10种放射性核素。</w:t>
            </w:r>
          </w:p>
          <w:p w14:paraId="377BD006">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5ED16520">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十二</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公司已公布的</w:t>
            </w:r>
            <w:r>
              <w:rPr>
                <w:rFonts w:hint="eastAsia" w:ascii="Times New Roman" w:hAnsi="Times New Roman" w:eastAsia="仿宋_GB2312"/>
                <w:b/>
                <w:bCs/>
                <w:kern w:val="0"/>
                <w:sz w:val="24"/>
                <w:szCs w:val="24"/>
                <w:lang w:bidi="ar"/>
              </w:rPr>
              <w:t>并购项目整合进展如何？预计未来能为公司带来多少收入和利润的增量？</w:t>
            </w:r>
          </w:p>
          <w:p w14:paraId="04FE33C0">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公司通过实施完成南京医药股份收购、浙江医工股权收购、北京法玛星股权收购以及采善堂股权收购等并购动作，扩充医药流通业务华东区域布局，补强特色制剂核心技术储备，丰富中医药老字号品牌资产储备。</w:t>
            </w:r>
            <w:r>
              <w:rPr>
                <w:rFonts w:hint="eastAsia" w:ascii="Times New Roman" w:hAnsi="Times New Roman" w:eastAsia="仿宋_GB2312"/>
                <w:b w:val="0"/>
                <w:bCs w:val="0"/>
                <w:kern w:val="0"/>
                <w:sz w:val="24"/>
                <w:szCs w:val="24"/>
                <w:lang w:val="en-US" w:eastAsia="zh-CN" w:bidi="ar"/>
              </w:rPr>
              <w:t>同时，</w:t>
            </w:r>
            <w:r>
              <w:rPr>
                <w:rFonts w:hint="eastAsia" w:ascii="Times New Roman" w:hAnsi="Times New Roman" w:eastAsia="仿宋_GB2312"/>
                <w:b w:val="0"/>
                <w:bCs w:val="0"/>
                <w:kern w:val="0"/>
                <w:sz w:val="24"/>
                <w:szCs w:val="24"/>
                <w:lang w:bidi="ar"/>
              </w:rPr>
              <w:t>公司持续完善投后管理制度，</w:t>
            </w:r>
            <w:r>
              <w:rPr>
                <w:rFonts w:hint="eastAsia" w:ascii="Times New Roman" w:hAnsi="Times New Roman" w:eastAsia="仿宋_GB2312"/>
                <w:b w:val="0"/>
                <w:bCs w:val="0"/>
                <w:kern w:val="0"/>
                <w:sz w:val="24"/>
                <w:szCs w:val="24"/>
                <w:lang w:val="en-US" w:eastAsia="zh-CN" w:bidi="ar"/>
              </w:rPr>
              <w:t>不断</w:t>
            </w:r>
            <w:r>
              <w:rPr>
                <w:rFonts w:hint="eastAsia" w:ascii="Times New Roman" w:hAnsi="Times New Roman" w:eastAsia="仿宋_GB2312"/>
                <w:b w:val="0"/>
                <w:bCs w:val="0"/>
                <w:kern w:val="0"/>
                <w:sz w:val="24"/>
                <w:szCs w:val="24"/>
                <w:lang w:bidi="ar"/>
              </w:rPr>
              <w:t>推动投后企业规范运营、协同发展，切实提升投资效益。</w:t>
            </w:r>
          </w:p>
          <w:p w14:paraId="542F63B1">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3E8E45A3">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十三</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目前</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公司在数字化药研方面有何进展</w:t>
            </w:r>
            <w:r>
              <w:rPr>
                <w:rFonts w:hint="eastAsia" w:ascii="Times New Roman" w:hAnsi="Times New Roman" w:eastAsia="仿宋_GB2312"/>
                <w:b/>
                <w:bCs/>
                <w:kern w:val="0"/>
                <w:sz w:val="24"/>
                <w:szCs w:val="24"/>
                <w:lang w:bidi="ar"/>
              </w:rPr>
              <w:t>？预计未来能为公司</w:t>
            </w:r>
            <w:r>
              <w:rPr>
                <w:rFonts w:hint="eastAsia" w:ascii="Times New Roman" w:hAnsi="Times New Roman" w:eastAsia="仿宋_GB2312"/>
                <w:b/>
                <w:bCs/>
                <w:kern w:val="0"/>
                <w:sz w:val="24"/>
                <w:szCs w:val="24"/>
                <w:lang w:val="en-US" w:eastAsia="zh-CN" w:bidi="ar"/>
              </w:rPr>
              <w:t>带来哪些效益</w:t>
            </w:r>
            <w:r>
              <w:rPr>
                <w:rFonts w:hint="eastAsia" w:ascii="Times New Roman" w:hAnsi="Times New Roman" w:eastAsia="仿宋_GB2312"/>
                <w:b/>
                <w:bCs/>
                <w:kern w:val="0"/>
                <w:sz w:val="24"/>
                <w:szCs w:val="24"/>
                <w:lang w:bidi="ar"/>
              </w:rPr>
              <w:t>？</w:t>
            </w:r>
          </w:p>
          <w:p w14:paraId="6EF81A9E">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公司积极推进</w:t>
            </w:r>
            <w:r>
              <w:rPr>
                <w:rFonts w:hint="eastAsia" w:ascii="Times New Roman" w:hAnsi="Times New Roman" w:eastAsia="仿宋_GB2312"/>
                <w:b w:val="0"/>
                <w:bCs w:val="0"/>
                <w:kern w:val="0"/>
                <w:sz w:val="24"/>
                <w:szCs w:val="24"/>
                <w:lang w:val="en-US" w:eastAsia="zh-CN" w:bidi="ar"/>
              </w:rPr>
              <w:t>数字化</w:t>
            </w:r>
            <w:r>
              <w:rPr>
                <w:rFonts w:hint="eastAsia" w:ascii="Times New Roman" w:hAnsi="Times New Roman" w:eastAsia="仿宋_GB2312"/>
                <w:b w:val="0"/>
                <w:bCs w:val="0"/>
                <w:kern w:val="0"/>
                <w:sz w:val="24"/>
                <w:szCs w:val="24"/>
                <w:lang w:bidi="ar"/>
              </w:rPr>
              <w:t>制药平台建设，强化创新药研发的核心能力，携手产业伙伴开展深度协同，持续助力提升早期研发筛选效率、优化生产工艺与质控流程。</w:t>
            </w:r>
          </w:p>
          <w:p w14:paraId="137F97C8">
            <w:pPr>
              <w:pStyle w:val="2"/>
              <w:spacing w:line="500" w:lineRule="exact"/>
              <w:ind w:firstLine="480" w:firstLineChars="200"/>
              <w:rPr>
                <w:rFonts w:hint="eastAsia" w:ascii="Times New Roman" w:hAnsi="Times New Roman" w:eastAsia="仿宋_GB2312"/>
                <w:b w:val="0"/>
                <w:bCs w:val="0"/>
                <w:kern w:val="0"/>
                <w:sz w:val="24"/>
                <w:szCs w:val="24"/>
                <w:lang w:bidi="ar"/>
              </w:rPr>
            </w:pPr>
          </w:p>
          <w:p w14:paraId="5FC2A1DD">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十四</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广州医药近期拟</w:t>
            </w:r>
            <w:r>
              <w:rPr>
                <w:rFonts w:hint="eastAsia" w:ascii="Times New Roman" w:hAnsi="Times New Roman" w:eastAsia="仿宋_GB2312"/>
                <w:b/>
                <w:bCs/>
                <w:kern w:val="0"/>
                <w:sz w:val="24"/>
                <w:szCs w:val="24"/>
                <w:lang w:bidi="ar"/>
              </w:rPr>
              <w:t>引入战略投资者</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是否会为广州医药带来渠道、资源层面的协同赋能？</w:t>
            </w:r>
          </w:p>
          <w:p w14:paraId="4F9197A1">
            <w:pPr>
              <w:pStyle w:val="2"/>
              <w:spacing w:line="500" w:lineRule="exact"/>
              <w:ind w:firstLine="480" w:firstLineChars="200"/>
              <w:rPr>
                <w:rFonts w:hint="eastAsia" w:ascii="Times New Roman" w:hAnsi="Times New Roman" w:eastAsia="仿宋_GB2312"/>
                <w:b w:val="0"/>
                <w:bCs w:val="0"/>
                <w:kern w:val="0"/>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广州医药本次通过增资扩股的方式引入战略投资者，目的是满足其业务发展及后续经营的资金需要，有利于其缓解流动资金压力、优化资产流动水平、提升财务风险抵御能力，进一步增强其整体综合竞争能力。</w:t>
            </w:r>
          </w:p>
          <w:p w14:paraId="04C0CE9B">
            <w:pPr>
              <w:pStyle w:val="2"/>
              <w:spacing w:line="500" w:lineRule="exact"/>
              <w:rPr>
                <w:rFonts w:hint="eastAsia" w:ascii="Times New Roman" w:hAnsi="Times New Roman" w:eastAsia="仿宋_GB2312"/>
                <w:b w:val="0"/>
                <w:bCs w:val="0"/>
                <w:kern w:val="0"/>
                <w:sz w:val="24"/>
                <w:szCs w:val="24"/>
                <w:lang w:bidi="ar"/>
              </w:rPr>
            </w:pPr>
          </w:p>
          <w:p w14:paraId="60C831C8">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十五</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公司计划</w:t>
            </w:r>
            <w:r>
              <w:rPr>
                <w:rFonts w:hint="eastAsia" w:ascii="Times New Roman" w:hAnsi="Times New Roman" w:eastAsia="仿宋_GB2312"/>
                <w:b/>
                <w:bCs/>
                <w:kern w:val="0"/>
                <w:sz w:val="24"/>
                <w:szCs w:val="24"/>
                <w:lang w:bidi="ar"/>
              </w:rPr>
              <w:t>如何利用机构调研契机推动机构参与公司投资，是否有股份回购、大股东广药集团增持等</w:t>
            </w:r>
            <w:r>
              <w:rPr>
                <w:rFonts w:hint="eastAsia" w:ascii="Times New Roman" w:hAnsi="Times New Roman" w:eastAsia="仿宋_GB2312"/>
                <w:b/>
                <w:bCs/>
                <w:kern w:val="0"/>
                <w:sz w:val="24"/>
                <w:szCs w:val="24"/>
                <w:lang w:val="en-US" w:eastAsia="zh-CN" w:bidi="ar"/>
              </w:rPr>
              <w:t>措施加强市值管理</w:t>
            </w:r>
            <w:r>
              <w:rPr>
                <w:rFonts w:hint="eastAsia" w:ascii="Times New Roman" w:hAnsi="Times New Roman" w:eastAsia="仿宋_GB2312"/>
                <w:b/>
                <w:bCs/>
                <w:kern w:val="0"/>
                <w:sz w:val="24"/>
                <w:szCs w:val="24"/>
                <w:lang w:bidi="ar"/>
              </w:rPr>
              <w:t>？</w:t>
            </w:r>
            <w:bookmarkStart w:id="0" w:name="_GoBack"/>
            <w:bookmarkEnd w:id="0"/>
          </w:p>
          <w:p w14:paraId="00A20B99">
            <w:pPr>
              <w:pStyle w:val="2"/>
              <w:spacing w:line="500" w:lineRule="exact"/>
              <w:ind w:firstLine="480" w:firstLineChars="200"/>
              <w:rPr>
                <w:rFonts w:ascii="宋体" w:hAnsi="宋体" w:eastAsia="宋体"/>
                <w:sz w:val="24"/>
                <w:szCs w:val="24"/>
                <w:lang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公司将持续用好机构调研等渠道，常态化做好信息沟通，真实、客观传递公司经营战略、业务进展及核心优势，展现公司长期投资价值。同时，公司将聚焦主业提质增效，努力推动公司价值得到合理反映。公司目前暂无股份回购计划，后续如有将按照相关规定及时履行信息披露义务。</w:t>
            </w:r>
          </w:p>
        </w:tc>
      </w:tr>
    </w:tbl>
    <w:p w14:paraId="26B265C8">
      <w:pPr>
        <w:rPr>
          <w:rFonts w:ascii="宋体" w:hAnsi="宋体" w:eastAsia="宋体"/>
          <w:sz w:val="24"/>
          <w:szCs w:val="24"/>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B27B9">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E8D15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3E8D15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hMmVlNzFjNDI0ZTliMTBjN2NmZDYxODZkZGVmMDcifQ=="/>
  </w:docVars>
  <w:rsids>
    <w:rsidRoot w:val="00172A27"/>
    <w:rsid w:val="00025CB0"/>
    <w:rsid w:val="00026AD9"/>
    <w:rsid w:val="00032329"/>
    <w:rsid w:val="000423CF"/>
    <w:rsid w:val="00044D1C"/>
    <w:rsid w:val="00050DF4"/>
    <w:rsid w:val="0005752C"/>
    <w:rsid w:val="00061C18"/>
    <w:rsid w:val="0008758C"/>
    <w:rsid w:val="000C455F"/>
    <w:rsid w:val="00150AE8"/>
    <w:rsid w:val="001512EA"/>
    <w:rsid w:val="00162AF3"/>
    <w:rsid w:val="00172A27"/>
    <w:rsid w:val="00181A29"/>
    <w:rsid w:val="00190A5F"/>
    <w:rsid w:val="00192476"/>
    <w:rsid w:val="0019375C"/>
    <w:rsid w:val="001A7C3F"/>
    <w:rsid w:val="001B2FA5"/>
    <w:rsid w:val="001D5B13"/>
    <w:rsid w:val="001D6CF4"/>
    <w:rsid w:val="001E2434"/>
    <w:rsid w:val="001E2B27"/>
    <w:rsid w:val="001E5849"/>
    <w:rsid w:val="001F0D8E"/>
    <w:rsid w:val="001F644B"/>
    <w:rsid w:val="002030C7"/>
    <w:rsid w:val="00227682"/>
    <w:rsid w:val="00234F62"/>
    <w:rsid w:val="0023523C"/>
    <w:rsid w:val="00237154"/>
    <w:rsid w:val="0023740A"/>
    <w:rsid w:val="00244BDD"/>
    <w:rsid w:val="002A55F9"/>
    <w:rsid w:val="002D34CA"/>
    <w:rsid w:val="002D719D"/>
    <w:rsid w:val="002F071F"/>
    <w:rsid w:val="0031151B"/>
    <w:rsid w:val="00333576"/>
    <w:rsid w:val="003638D2"/>
    <w:rsid w:val="00372AEC"/>
    <w:rsid w:val="00372E22"/>
    <w:rsid w:val="003843DA"/>
    <w:rsid w:val="00393833"/>
    <w:rsid w:val="003B20EB"/>
    <w:rsid w:val="003D4A24"/>
    <w:rsid w:val="003E2611"/>
    <w:rsid w:val="00416276"/>
    <w:rsid w:val="00417D16"/>
    <w:rsid w:val="0042267D"/>
    <w:rsid w:val="00426DE7"/>
    <w:rsid w:val="00430C9F"/>
    <w:rsid w:val="00440515"/>
    <w:rsid w:val="00444319"/>
    <w:rsid w:val="004508A9"/>
    <w:rsid w:val="00454DB9"/>
    <w:rsid w:val="004575B0"/>
    <w:rsid w:val="004629A5"/>
    <w:rsid w:val="00464276"/>
    <w:rsid w:val="004830A0"/>
    <w:rsid w:val="004A0494"/>
    <w:rsid w:val="004D0DC3"/>
    <w:rsid w:val="004D7C37"/>
    <w:rsid w:val="00535815"/>
    <w:rsid w:val="005666FB"/>
    <w:rsid w:val="0058744F"/>
    <w:rsid w:val="005A0C6A"/>
    <w:rsid w:val="005A6D48"/>
    <w:rsid w:val="005D695F"/>
    <w:rsid w:val="005E6EA6"/>
    <w:rsid w:val="005F2058"/>
    <w:rsid w:val="005F2987"/>
    <w:rsid w:val="005F4FCF"/>
    <w:rsid w:val="005F6069"/>
    <w:rsid w:val="00624602"/>
    <w:rsid w:val="00631DD3"/>
    <w:rsid w:val="006366B1"/>
    <w:rsid w:val="00641E4D"/>
    <w:rsid w:val="00643621"/>
    <w:rsid w:val="00653716"/>
    <w:rsid w:val="00672B6C"/>
    <w:rsid w:val="00676F1A"/>
    <w:rsid w:val="0068760B"/>
    <w:rsid w:val="00690627"/>
    <w:rsid w:val="00694DCE"/>
    <w:rsid w:val="006A31C5"/>
    <w:rsid w:val="006B399C"/>
    <w:rsid w:val="006C7988"/>
    <w:rsid w:val="006D3077"/>
    <w:rsid w:val="006E36C1"/>
    <w:rsid w:val="006F0129"/>
    <w:rsid w:val="006F78C2"/>
    <w:rsid w:val="007118FE"/>
    <w:rsid w:val="00711D0F"/>
    <w:rsid w:val="00711D80"/>
    <w:rsid w:val="007137B8"/>
    <w:rsid w:val="00716CD9"/>
    <w:rsid w:val="007616A5"/>
    <w:rsid w:val="007636A3"/>
    <w:rsid w:val="007802B8"/>
    <w:rsid w:val="00795FD5"/>
    <w:rsid w:val="007A2E2D"/>
    <w:rsid w:val="007C124C"/>
    <w:rsid w:val="007C2D01"/>
    <w:rsid w:val="007E76DC"/>
    <w:rsid w:val="008000EC"/>
    <w:rsid w:val="00806304"/>
    <w:rsid w:val="00812351"/>
    <w:rsid w:val="00816522"/>
    <w:rsid w:val="008534FA"/>
    <w:rsid w:val="00861A58"/>
    <w:rsid w:val="008F5BDD"/>
    <w:rsid w:val="00900532"/>
    <w:rsid w:val="00916D30"/>
    <w:rsid w:val="0092138B"/>
    <w:rsid w:val="00924CFF"/>
    <w:rsid w:val="00926D52"/>
    <w:rsid w:val="00940C21"/>
    <w:rsid w:val="00941BE8"/>
    <w:rsid w:val="00954ADF"/>
    <w:rsid w:val="00957621"/>
    <w:rsid w:val="00965600"/>
    <w:rsid w:val="00981F53"/>
    <w:rsid w:val="009846E6"/>
    <w:rsid w:val="009917D2"/>
    <w:rsid w:val="009A2F93"/>
    <w:rsid w:val="009B2D59"/>
    <w:rsid w:val="009D1231"/>
    <w:rsid w:val="009E4068"/>
    <w:rsid w:val="00A04B95"/>
    <w:rsid w:val="00A055C7"/>
    <w:rsid w:val="00A27FC2"/>
    <w:rsid w:val="00A31AD1"/>
    <w:rsid w:val="00A42E7E"/>
    <w:rsid w:val="00A838B1"/>
    <w:rsid w:val="00AB16B9"/>
    <w:rsid w:val="00AB2E37"/>
    <w:rsid w:val="00AB78DB"/>
    <w:rsid w:val="00AD1DDC"/>
    <w:rsid w:val="00AE3836"/>
    <w:rsid w:val="00AF4F8E"/>
    <w:rsid w:val="00B10F38"/>
    <w:rsid w:val="00B2542A"/>
    <w:rsid w:val="00B34BCA"/>
    <w:rsid w:val="00B409FC"/>
    <w:rsid w:val="00B4791A"/>
    <w:rsid w:val="00B47DA0"/>
    <w:rsid w:val="00B82458"/>
    <w:rsid w:val="00B85224"/>
    <w:rsid w:val="00B85BF3"/>
    <w:rsid w:val="00B86058"/>
    <w:rsid w:val="00BA4FAB"/>
    <w:rsid w:val="00BD34F3"/>
    <w:rsid w:val="00BE71DD"/>
    <w:rsid w:val="00BF53F3"/>
    <w:rsid w:val="00BF6490"/>
    <w:rsid w:val="00C17FFD"/>
    <w:rsid w:val="00C30AEE"/>
    <w:rsid w:val="00C419EA"/>
    <w:rsid w:val="00C52639"/>
    <w:rsid w:val="00C618C3"/>
    <w:rsid w:val="00C6785D"/>
    <w:rsid w:val="00C67F92"/>
    <w:rsid w:val="00C74C1A"/>
    <w:rsid w:val="00C84386"/>
    <w:rsid w:val="00C90242"/>
    <w:rsid w:val="00CB14DC"/>
    <w:rsid w:val="00CC5714"/>
    <w:rsid w:val="00CE6791"/>
    <w:rsid w:val="00CF047B"/>
    <w:rsid w:val="00CF1631"/>
    <w:rsid w:val="00CF4DDB"/>
    <w:rsid w:val="00D075FA"/>
    <w:rsid w:val="00D132CA"/>
    <w:rsid w:val="00D15514"/>
    <w:rsid w:val="00D22970"/>
    <w:rsid w:val="00D22A15"/>
    <w:rsid w:val="00D25777"/>
    <w:rsid w:val="00D32B0B"/>
    <w:rsid w:val="00D4320B"/>
    <w:rsid w:val="00DA63E6"/>
    <w:rsid w:val="00DB1D0E"/>
    <w:rsid w:val="00DC5CB4"/>
    <w:rsid w:val="00DD7901"/>
    <w:rsid w:val="00DE1A21"/>
    <w:rsid w:val="00E00758"/>
    <w:rsid w:val="00E10DEB"/>
    <w:rsid w:val="00E163CE"/>
    <w:rsid w:val="00E24D7D"/>
    <w:rsid w:val="00E265BD"/>
    <w:rsid w:val="00E4048D"/>
    <w:rsid w:val="00E46AD2"/>
    <w:rsid w:val="00E735D9"/>
    <w:rsid w:val="00E7643E"/>
    <w:rsid w:val="00E863F3"/>
    <w:rsid w:val="00EA7ED8"/>
    <w:rsid w:val="00EC4BF3"/>
    <w:rsid w:val="00EC7D58"/>
    <w:rsid w:val="00ED3436"/>
    <w:rsid w:val="00F01C36"/>
    <w:rsid w:val="00F06EDA"/>
    <w:rsid w:val="00F22A2A"/>
    <w:rsid w:val="00F269D3"/>
    <w:rsid w:val="00F609E2"/>
    <w:rsid w:val="00FB5649"/>
    <w:rsid w:val="00FC6C8E"/>
    <w:rsid w:val="00FC7316"/>
    <w:rsid w:val="00FE79E5"/>
    <w:rsid w:val="010D427B"/>
    <w:rsid w:val="01201F55"/>
    <w:rsid w:val="01AD3A23"/>
    <w:rsid w:val="026B2CB8"/>
    <w:rsid w:val="0284384D"/>
    <w:rsid w:val="02C54724"/>
    <w:rsid w:val="03920A67"/>
    <w:rsid w:val="03C9092D"/>
    <w:rsid w:val="04212517"/>
    <w:rsid w:val="04917185"/>
    <w:rsid w:val="05BF3CB6"/>
    <w:rsid w:val="063D4CBA"/>
    <w:rsid w:val="06622973"/>
    <w:rsid w:val="07102EA3"/>
    <w:rsid w:val="07452CE3"/>
    <w:rsid w:val="074B4461"/>
    <w:rsid w:val="07852DBD"/>
    <w:rsid w:val="079E79DA"/>
    <w:rsid w:val="07A27EEC"/>
    <w:rsid w:val="07A836F4"/>
    <w:rsid w:val="07B03875"/>
    <w:rsid w:val="07B32739"/>
    <w:rsid w:val="0882554E"/>
    <w:rsid w:val="090C0028"/>
    <w:rsid w:val="091A677A"/>
    <w:rsid w:val="09EB2C7F"/>
    <w:rsid w:val="0A2F6341"/>
    <w:rsid w:val="0A764C3F"/>
    <w:rsid w:val="0A8344B4"/>
    <w:rsid w:val="0AA7304A"/>
    <w:rsid w:val="0AAA02B8"/>
    <w:rsid w:val="0ADD5073"/>
    <w:rsid w:val="0AE71698"/>
    <w:rsid w:val="0AEC3153"/>
    <w:rsid w:val="0AF11EFA"/>
    <w:rsid w:val="0B801AF3"/>
    <w:rsid w:val="0BCE214B"/>
    <w:rsid w:val="0BE24FAD"/>
    <w:rsid w:val="0BFD6B61"/>
    <w:rsid w:val="0C17188A"/>
    <w:rsid w:val="0C9B098C"/>
    <w:rsid w:val="0CB240D8"/>
    <w:rsid w:val="0CCE789E"/>
    <w:rsid w:val="0D9E5A0B"/>
    <w:rsid w:val="0DB73065"/>
    <w:rsid w:val="0E1600BC"/>
    <w:rsid w:val="0E5928AD"/>
    <w:rsid w:val="0E6A2D0C"/>
    <w:rsid w:val="0EE20AF5"/>
    <w:rsid w:val="0F311A6F"/>
    <w:rsid w:val="0F5B1954"/>
    <w:rsid w:val="0FBF0E36"/>
    <w:rsid w:val="0FE85BEC"/>
    <w:rsid w:val="0FE91A0F"/>
    <w:rsid w:val="104C4D64"/>
    <w:rsid w:val="11976A68"/>
    <w:rsid w:val="11B36F2A"/>
    <w:rsid w:val="11BD6E3E"/>
    <w:rsid w:val="11E91587"/>
    <w:rsid w:val="12170AB5"/>
    <w:rsid w:val="12321767"/>
    <w:rsid w:val="12353631"/>
    <w:rsid w:val="124C4FD5"/>
    <w:rsid w:val="125A30C4"/>
    <w:rsid w:val="128D521B"/>
    <w:rsid w:val="12ED7A68"/>
    <w:rsid w:val="12FE49D6"/>
    <w:rsid w:val="130152C1"/>
    <w:rsid w:val="133F476E"/>
    <w:rsid w:val="13482EF0"/>
    <w:rsid w:val="1363595C"/>
    <w:rsid w:val="14123C2A"/>
    <w:rsid w:val="142D0E0E"/>
    <w:rsid w:val="148E15C6"/>
    <w:rsid w:val="15036C38"/>
    <w:rsid w:val="15507A24"/>
    <w:rsid w:val="16055DDA"/>
    <w:rsid w:val="161812FA"/>
    <w:rsid w:val="162219DC"/>
    <w:rsid w:val="16806CB1"/>
    <w:rsid w:val="16CA07EC"/>
    <w:rsid w:val="16D056D6"/>
    <w:rsid w:val="16DC407B"/>
    <w:rsid w:val="16EF1130"/>
    <w:rsid w:val="179E3A27"/>
    <w:rsid w:val="17C9137B"/>
    <w:rsid w:val="17CA65CA"/>
    <w:rsid w:val="17E54BD3"/>
    <w:rsid w:val="17F0126D"/>
    <w:rsid w:val="18090EA0"/>
    <w:rsid w:val="181E5365"/>
    <w:rsid w:val="18290801"/>
    <w:rsid w:val="18545F68"/>
    <w:rsid w:val="189360E5"/>
    <w:rsid w:val="18EE0096"/>
    <w:rsid w:val="18FC210A"/>
    <w:rsid w:val="19293B87"/>
    <w:rsid w:val="1940793F"/>
    <w:rsid w:val="19A215B9"/>
    <w:rsid w:val="19E70E0E"/>
    <w:rsid w:val="19FC104D"/>
    <w:rsid w:val="1A0E09F0"/>
    <w:rsid w:val="1A7C16E4"/>
    <w:rsid w:val="1A8707A2"/>
    <w:rsid w:val="1AB7210B"/>
    <w:rsid w:val="1AC65D6F"/>
    <w:rsid w:val="1B5B5EB7"/>
    <w:rsid w:val="1B6B70D8"/>
    <w:rsid w:val="1B6E62F4"/>
    <w:rsid w:val="1B8515C8"/>
    <w:rsid w:val="1BAB4AC5"/>
    <w:rsid w:val="1BD65A0D"/>
    <w:rsid w:val="1C051F94"/>
    <w:rsid w:val="1C3861F8"/>
    <w:rsid w:val="1C4A1A87"/>
    <w:rsid w:val="1C4B4A0F"/>
    <w:rsid w:val="1C5A6817"/>
    <w:rsid w:val="1C5B5A42"/>
    <w:rsid w:val="1CA94A00"/>
    <w:rsid w:val="1CD43639"/>
    <w:rsid w:val="1D494184"/>
    <w:rsid w:val="1D7B7E7D"/>
    <w:rsid w:val="1D8944E9"/>
    <w:rsid w:val="1DCE33A3"/>
    <w:rsid w:val="1DD333DB"/>
    <w:rsid w:val="1DDE150B"/>
    <w:rsid w:val="1E3C42D4"/>
    <w:rsid w:val="1ECB4267"/>
    <w:rsid w:val="1F3638AE"/>
    <w:rsid w:val="1F594E5D"/>
    <w:rsid w:val="1FBD2442"/>
    <w:rsid w:val="202D1DEC"/>
    <w:rsid w:val="20681567"/>
    <w:rsid w:val="207F3780"/>
    <w:rsid w:val="20B348F3"/>
    <w:rsid w:val="20D075ED"/>
    <w:rsid w:val="210743EB"/>
    <w:rsid w:val="212D4142"/>
    <w:rsid w:val="21303941"/>
    <w:rsid w:val="21412810"/>
    <w:rsid w:val="215D5E73"/>
    <w:rsid w:val="217D46AD"/>
    <w:rsid w:val="218F236A"/>
    <w:rsid w:val="21D30E45"/>
    <w:rsid w:val="22121D98"/>
    <w:rsid w:val="222A5947"/>
    <w:rsid w:val="222F1E4B"/>
    <w:rsid w:val="223E68AF"/>
    <w:rsid w:val="2265586D"/>
    <w:rsid w:val="23361B69"/>
    <w:rsid w:val="233A223B"/>
    <w:rsid w:val="234B1C36"/>
    <w:rsid w:val="23563407"/>
    <w:rsid w:val="23CF4182"/>
    <w:rsid w:val="25C83F87"/>
    <w:rsid w:val="25DB0FD9"/>
    <w:rsid w:val="25F95EEC"/>
    <w:rsid w:val="261C0BF7"/>
    <w:rsid w:val="262275D1"/>
    <w:rsid w:val="266876DA"/>
    <w:rsid w:val="26862B41"/>
    <w:rsid w:val="26F61EFB"/>
    <w:rsid w:val="273A716C"/>
    <w:rsid w:val="2758774E"/>
    <w:rsid w:val="276237A8"/>
    <w:rsid w:val="278E4F1E"/>
    <w:rsid w:val="280D4603"/>
    <w:rsid w:val="283C698F"/>
    <w:rsid w:val="287912E5"/>
    <w:rsid w:val="287C121A"/>
    <w:rsid w:val="292E501E"/>
    <w:rsid w:val="29512368"/>
    <w:rsid w:val="29B535B1"/>
    <w:rsid w:val="2A1A2444"/>
    <w:rsid w:val="2A3648F0"/>
    <w:rsid w:val="2A715156"/>
    <w:rsid w:val="2A790107"/>
    <w:rsid w:val="2A86447F"/>
    <w:rsid w:val="2ADF2513"/>
    <w:rsid w:val="2B075C65"/>
    <w:rsid w:val="2B447689"/>
    <w:rsid w:val="2B591E08"/>
    <w:rsid w:val="2BBB02AC"/>
    <w:rsid w:val="2BCF10A6"/>
    <w:rsid w:val="2C1300E8"/>
    <w:rsid w:val="2C575738"/>
    <w:rsid w:val="2C8B5ED0"/>
    <w:rsid w:val="2C960884"/>
    <w:rsid w:val="2CA973E9"/>
    <w:rsid w:val="2D210ADB"/>
    <w:rsid w:val="2D4521E4"/>
    <w:rsid w:val="2DD90EBD"/>
    <w:rsid w:val="2DF81343"/>
    <w:rsid w:val="2E6B2BC6"/>
    <w:rsid w:val="2E9E2CEF"/>
    <w:rsid w:val="2EE47B19"/>
    <w:rsid w:val="2F2D14C0"/>
    <w:rsid w:val="2F6A3570"/>
    <w:rsid w:val="2F964F05"/>
    <w:rsid w:val="2FE00052"/>
    <w:rsid w:val="2FEA11EA"/>
    <w:rsid w:val="3036293F"/>
    <w:rsid w:val="30896480"/>
    <w:rsid w:val="30963095"/>
    <w:rsid w:val="30A07565"/>
    <w:rsid w:val="30AB5BFC"/>
    <w:rsid w:val="31363720"/>
    <w:rsid w:val="314E47F2"/>
    <w:rsid w:val="315C308A"/>
    <w:rsid w:val="31807F66"/>
    <w:rsid w:val="31B118FD"/>
    <w:rsid w:val="32874D75"/>
    <w:rsid w:val="32A7158A"/>
    <w:rsid w:val="32AE46C6"/>
    <w:rsid w:val="32DE69D8"/>
    <w:rsid w:val="32EB2B64"/>
    <w:rsid w:val="334F6D3D"/>
    <w:rsid w:val="335C6172"/>
    <w:rsid w:val="336229E7"/>
    <w:rsid w:val="337F6B6E"/>
    <w:rsid w:val="33911F37"/>
    <w:rsid w:val="33E21C1A"/>
    <w:rsid w:val="34311A53"/>
    <w:rsid w:val="343230D5"/>
    <w:rsid w:val="346C48F4"/>
    <w:rsid w:val="346D766F"/>
    <w:rsid w:val="34E71972"/>
    <w:rsid w:val="34F9186F"/>
    <w:rsid w:val="3533084D"/>
    <w:rsid w:val="354D54A9"/>
    <w:rsid w:val="359679D1"/>
    <w:rsid w:val="35A23056"/>
    <w:rsid w:val="35AA0971"/>
    <w:rsid w:val="36D641AB"/>
    <w:rsid w:val="36E63C08"/>
    <w:rsid w:val="36E92225"/>
    <w:rsid w:val="372C6E7F"/>
    <w:rsid w:val="376D0754"/>
    <w:rsid w:val="376D1E36"/>
    <w:rsid w:val="3792602A"/>
    <w:rsid w:val="37DA313A"/>
    <w:rsid w:val="381B277F"/>
    <w:rsid w:val="3824770E"/>
    <w:rsid w:val="38545D10"/>
    <w:rsid w:val="38C43E25"/>
    <w:rsid w:val="399972E4"/>
    <w:rsid w:val="39F6132E"/>
    <w:rsid w:val="3A166BEF"/>
    <w:rsid w:val="3A1864B2"/>
    <w:rsid w:val="3A1F4445"/>
    <w:rsid w:val="3A3815D3"/>
    <w:rsid w:val="3A3E6C77"/>
    <w:rsid w:val="3A415891"/>
    <w:rsid w:val="3A591F82"/>
    <w:rsid w:val="3A6D7BE3"/>
    <w:rsid w:val="3ACC7DDF"/>
    <w:rsid w:val="3B225C51"/>
    <w:rsid w:val="3B3E3FA5"/>
    <w:rsid w:val="3B450930"/>
    <w:rsid w:val="3BA23236"/>
    <w:rsid w:val="3C1852A6"/>
    <w:rsid w:val="3C6A7383"/>
    <w:rsid w:val="3C74099D"/>
    <w:rsid w:val="3C7D054C"/>
    <w:rsid w:val="3CE8383B"/>
    <w:rsid w:val="3D605157"/>
    <w:rsid w:val="3D7A3C99"/>
    <w:rsid w:val="3DC512D0"/>
    <w:rsid w:val="3E0273F8"/>
    <w:rsid w:val="3E5B4D46"/>
    <w:rsid w:val="3E66054B"/>
    <w:rsid w:val="3EC80C8D"/>
    <w:rsid w:val="3F040387"/>
    <w:rsid w:val="3F4C5993"/>
    <w:rsid w:val="3F8E5FAB"/>
    <w:rsid w:val="3FD10385"/>
    <w:rsid w:val="3FDB51DB"/>
    <w:rsid w:val="40871FB8"/>
    <w:rsid w:val="40CD253B"/>
    <w:rsid w:val="40E35B04"/>
    <w:rsid w:val="41413F6F"/>
    <w:rsid w:val="41990C37"/>
    <w:rsid w:val="41ED47FB"/>
    <w:rsid w:val="41F80C94"/>
    <w:rsid w:val="42537038"/>
    <w:rsid w:val="42835EF4"/>
    <w:rsid w:val="4298644F"/>
    <w:rsid w:val="42CE4911"/>
    <w:rsid w:val="430D7664"/>
    <w:rsid w:val="43190F58"/>
    <w:rsid w:val="43763100"/>
    <w:rsid w:val="437B2938"/>
    <w:rsid w:val="43FB0295"/>
    <w:rsid w:val="4427077C"/>
    <w:rsid w:val="44492474"/>
    <w:rsid w:val="44617BA5"/>
    <w:rsid w:val="44DC3315"/>
    <w:rsid w:val="44EE02A0"/>
    <w:rsid w:val="450137F0"/>
    <w:rsid w:val="45053792"/>
    <w:rsid w:val="4534527F"/>
    <w:rsid w:val="453D05C7"/>
    <w:rsid w:val="45516773"/>
    <w:rsid w:val="45BE5CA2"/>
    <w:rsid w:val="45FA1CE4"/>
    <w:rsid w:val="460C5E7C"/>
    <w:rsid w:val="46380A1F"/>
    <w:rsid w:val="467CFF17"/>
    <w:rsid w:val="469C0860"/>
    <w:rsid w:val="46A351E1"/>
    <w:rsid w:val="46BA58D8"/>
    <w:rsid w:val="47022DDB"/>
    <w:rsid w:val="470C1789"/>
    <w:rsid w:val="47327B17"/>
    <w:rsid w:val="473936A6"/>
    <w:rsid w:val="474F52FA"/>
    <w:rsid w:val="476B2748"/>
    <w:rsid w:val="47B440D5"/>
    <w:rsid w:val="47C841F6"/>
    <w:rsid w:val="47D77BA6"/>
    <w:rsid w:val="47E47B88"/>
    <w:rsid w:val="48166B3E"/>
    <w:rsid w:val="48307449"/>
    <w:rsid w:val="48742673"/>
    <w:rsid w:val="48764D34"/>
    <w:rsid w:val="48DA5496"/>
    <w:rsid w:val="48E32CA1"/>
    <w:rsid w:val="491F1A22"/>
    <w:rsid w:val="49574D12"/>
    <w:rsid w:val="495751DE"/>
    <w:rsid w:val="49C16F7D"/>
    <w:rsid w:val="4A34702F"/>
    <w:rsid w:val="4A710A83"/>
    <w:rsid w:val="4A714A31"/>
    <w:rsid w:val="4A832E71"/>
    <w:rsid w:val="4AEA31D4"/>
    <w:rsid w:val="4B406D17"/>
    <w:rsid w:val="4B4810FE"/>
    <w:rsid w:val="4B73153F"/>
    <w:rsid w:val="4B875393"/>
    <w:rsid w:val="4B977597"/>
    <w:rsid w:val="4C066EC9"/>
    <w:rsid w:val="4C3752D5"/>
    <w:rsid w:val="4C602AB7"/>
    <w:rsid w:val="4CBF7C75"/>
    <w:rsid w:val="4CD11285"/>
    <w:rsid w:val="4CE70AA9"/>
    <w:rsid w:val="4D0623E1"/>
    <w:rsid w:val="4D233AF8"/>
    <w:rsid w:val="4D3E1798"/>
    <w:rsid w:val="4D480730"/>
    <w:rsid w:val="4D571ED4"/>
    <w:rsid w:val="4DD40C5E"/>
    <w:rsid w:val="4DDC4A17"/>
    <w:rsid w:val="4E121B55"/>
    <w:rsid w:val="4E2A6F15"/>
    <w:rsid w:val="4E30647F"/>
    <w:rsid w:val="4E3432F4"/>
    <w:rsid w:val="4F6B3C13"/>
    <w:rsid w:val="4FBB7FCB"/>
    <w:rsid w:val="4FD42DC3"/>
    <w:rsid w:val="501D04CE"/>
    <w:rsid w:val="502D0E36"/>
    <w:rsid w:val="50333DEC"/>
    <w:rsid w:val="50414974"/>
    <w:rsid w:val="508F56DF"/>
    <w:rsid w:val="50E35EBB"/>
    <w:rsid w:val="50F46775"/>
    <w:rsid w:val="50FB0FC7"/>
    <w:rsid w:val="51404C2B"/>
    <w:rsid w:val="51F949B7"/>
    <w:rsid w:val="52985AF9"/>
    <w:rsid w:val="53505AE5"/>
    <w:rsid w:val="53830F02"/>
    <w:rsid w:val="53A316C5"/>
    <w:rsid w:val="53CE31DB"/>
    <w:rsid w:val="53FD9CDC"/>
    <w:rsid w:val="54327A61"/>
    <w:rsid w:val="54DC7AC6"/>
    <w:rsid w:val="5560764A"/>
    <w:rsid w:val="557F0100"/>
    <w:rsid w:val="55AC288F"/>
    <w:rsid w:val="55C8387E"/>
    <w:rsid w:val="55C86F8B"/>
    <w:rsid w:val="55D6790C"/>
    <w:rsid w:val="56D15A89"/>
    <w:rsid w:val="572C51A7"/>
    <w:rsid w:val="576C677A"/>
    <w:rsid w:val="57C661A5"/>
    <w:rsid w:val="57CB1AC4"/>
    <w:rsid w:val="58035059"/>
    <w:rsid w:val="587358E6"/>
    <w:rsid w:val="58805DBF"/>
    <w:rsid w:val="58AC2BA6"/>
    <w:rsid w:val="58E41B62"/>
    <w:rsid w:val="592D325B"/>
    <w:rsid w:val="59314761"/>
    <w:rsid w:val="593D2E59"/>
    <w:rsid w:val="59883613"/>
    <w:rsid w:val="59A87812"/>
    <w:rsid w:val="59D02FE6"/>
    <w:rsid w:val="59DC4EB6"/>
    <w:rsid w:val="5A2C6B69"/>
    <w:rsid w:val="5A497EFA"/>
    <w:rsid w:val="5A8D3D2B"/>
    <w:rsid w:val="5B697EEF"/>
    <w:rsid w:val="5B702511"/>
    <w:rsid w:val="5B913D4A"/>
    <w:rsid w:val="5C056287"/>
    <w:rsid w:val="5C1F32A6"/>
    <w:rsid w:val="5CA77A0B"/>
    <w:rsid w:val="5D311BE6"/>
    <w:rsid w:val="5D3B34D2"/>
    <w:rsid w:val="5D976B3F"/>
    <w:rsid w:val="5E024645"/>
    <w:rsid w:val="5E548B43"/>
    <w:rsid w:val="5E5B3ACA"/>
    <w:rsid w:val="5E780AE1"/>
    <w:rsid w:val="5EB3CE55"/>
    <w:rsid w:val="5F246A9A"/>
    <w:rsid w:val="5F2D68B1"/>
    <w:rsid w:val="5F8EA272"/>
    <w:rsid w:val="5FAE0644"/>
    <w:rsid w:val="5FAF52E8"/>
    <w:rsid w:val="5FE445C6"/>
    <w:rsid w:val="5FF7D567"/>
    <w:rsid w:val="5FFD5AB9"/>
    <w:rsid w:val="60844B35"/>
    <w:rsid w:val="60B92AAF"/>
    <w:rsid w:val="610F1255"/>
    <w:rsid w:val="612A6E3D"/>
    <w:rsid w:val="61572249"/>
    <w:rsid w:val="61813DF8"/>
    <w:rsid w:val="61930DA7"/>
    <w:rsid w:val="61D43888"/>
    <w:rsid w:val="62214605"/>
    <w:rsid w:val="6223212B"/>
    <w:rsid w:val="622C188E"/>
    <w:rsid w:val="623D38BB"/>
    <w:rsid w:val="62691F3E"/>
    <w:rsid w:val="62B75CC2"/>
    <w:rsid w:val="63604CB9"/>
    <w:rsid w:val="636D7E27"/>
    <w:rsid w:val="6393680E"/>
    <w:rsid w:val="63F447FA"/>
    <w:rsid w:val="642467FB"/>
    <w:rsid w:val="646B1ECE"/>
    <w:rsid w:val="65324045"/>
    <w:rsid w:val="653603C7"/>
    <w:rsid w:val="653760BE"/>
    <w:rsid w:val="65420882"/>
    <w:rsid w:val="6553506E"/>
    <w:rsid w:val="65672E18"/>
    <w:rsid w:val="656C1155"/>
    <w:rsid w:val="65707DCC"/>
    <w:rsid w:val="658B309F"/>
    <w:rsid w:val="659A7FFB"/>
    <w:rsid w:val="664A15ED"/>
    <w:rsid w:val="665600F0"/>
    <w:rsid w:val="66727C84"/>
    <w:rsid w:val="66876902"/>
    <w:rsid w:val="66A650D9"/>
    <w:rsid w:val="66BD5E1B"/>
    <w:rsid w:val="66CD2666"/>
    <w:rsid w:val="67087B42"/>
    <w:rsid w:val="67A27022"/>
    <w:rsid w:val="67E05496"/>
    <w:rsid w:val="680C559B"/>
    <w:rsid w:val="68686BBC"/>
    <w:rsid w:val="687A00C6"/>
    <w:rsid w:val="68934717"/>
    <w:rsid w:val="68ED6FEF"/>
    <w:rsid w:val="69043963"/>
    <w:rsid w:val="69044022"/>
    <w:rsid w:val="6907627A"/>
    <w:rsid w:val="69165080"/>
    <w:rsid w:val="696B304E"/>
    <w:rsid w:val="696B6C9C"/>
    <w:rsid w:val="697838DF"/>
    <w:rsid w:val="69C40A40"/>
    <w:rsid w:val="6A151116"/>
    <w:rsid w:val="6A293639"/>
    <w:rsid w:val="6A5777C2"/>
    <w:rsid w:val="6A6634FD"/>
    <w:rsid w:val="6B287AD5"/>
    <w:rsid w:val="6B7316A4"/>
    <w:rsid w:val="6B8B77E1"/>
    <w:rsid w:val="6B9C4F21"/>
    <w:rsid w:val="6BDA2AFA"/>
    <w:rsid w:val="6BE4317B"/>
    <w:rsid w:val="6C58469A"/>
    <w:rsid w:val="6C6E055C"/>
    <w:rsid w:val="6C740B5E"/>
    <w:rsid w:val="6CC57182"/>
    <w:rsid w:val="6CC7277A"/>
    <w:rsid w:val="6D1D1356"/>
    <w:rsid w:val="6DA74875"/>
    <w:rsid w:val="6DE8697B"/>
    <w:rsid w:val="6E1967C1"/>
    <w:rsid w:val="6EBC5114"/>
    <w:rsid w:val="6ED57945"/>
    <w:rsid w:val="6EF2710D"/>
    <w:rsid w:val="6F08090C"/>
    <w:rsid w:val="6F4E7113"/>
    <w:rsid w:val="6F541B76"/>
    <w:rsid w:val="6F8E7ECA"/>
    <w:rsid w:val="6F9D2C59"/>
    <w:rsid w:val="6FAE28B9"/>
    <w:rsid w:val="6FBB11B3"/>
    <w:rsid w:val="70096E04"/>
    <w:rsid w:val="70514307"/>
    <w:rsid w:val="70B12FF8"/>
    <w:rsid w:val="70C85717"/>
    <w:rsid w:val="71141CBA"/>
    <w:rsid w:val="71F37B08"/>
    <w:rsid w:val="72127AC6"/>
    <w:rsid w:val="722F31E7"/>
    <w:rsid w:val="724F6669"/>
    <w:rsid w:val="72A5504C"/>
    <w:rsid w:val="72E363F2"/>
    <w:rsid w:val="734C133A"/>
    <w:rsid w:val="73722F12"/>
    <w:rsid w:val="73972904"/>
    <w:rsid w:val="73B788E7"/>
    <w:rsid w:val="742C183A"/>
    <w:rsid w:val="743E1047"/>
    <w:rsid w:val="74404DBF"/>
    <w:rsid w:val="74566577"/>
    <w:rsid w:val="748E5089"/>
    <w:rsid w:val="74DB23BF"/>
    <w:rsid w:val="74E1184F"/>
    <w:rsid w:val="74FC2BFE"/>
    <w:rsid w:val="74FD7D63"/>
    <w:rsid w:val="757F2329"/>
    <w:rsid w:val="75DE31F0"/>
    <w:rsid w:val="75E85E43"/>
    <w:rsid w:val="767E3A20"/>
    <w:rsid w:val="76AF7FDA"/>
    <w:rsid w:val="76CE593B"/>
    <w:rsid w:val="76F3B939"/>
    <w:rsid w:val="76FD4DCB"/>
    <w:rsid w:val="771222E8"/>
    <w:rsid w:val="77664B3C"/>
    <w:rsid w:val="77C4430A"/>
    <w:rsid w:val="77C82386"/>
    <w:rsid w:val="77E3785D"/>
    <w:rsid w:val="78457530"/>
    <w:rsid w:val="78C9620B"/>
    <w:rsid w:val="78CB7E81"/>
    <w:rsid w:val="790A14F7"/>
    <w:rsid w:val="790F2AC2"/>
    <w:rsid w:val="7923774A"/>
    <w:rsid w:val="79856F2C"/>
    <w:rsid w:val="799C441C"/>
    <w:rsid w:val="7A7237F8"/>
    <w:rsid w:val="7AA65250"/>
    <w:rsid w:val="7AFD1314"/>
    <w:rsid w:val="7B2F0256"/>
    <w:rsid w:val="7B926184"/>
    <w:rsid w:val="7C023D81"/>
    <w:rsid w:val="7C0A1A7E"/>
    <w:rsid w:val="7C3B688B"/>
    <w:rsid w:val="7C41491B"/>
    <w:rsid w:val="7C58305E"/>
    <w:rsid w:val="7C76098C"/>
    <w:rsid w:val="7C7F7042"/>
    <w:rsid w:val="7D2637C1"/>
    <w:rsid w:val="7D505977"/>
    <w:rsid w:val="7E0046E9"/>
    <w:rsid w:val="7E210840"/>
    <w:rsid w:val="7E325778"/>
    <w:rsid w:val="7E36681D"/>
    <w:rsid w:val="7FB6280C"/>
    <w:rsid w:val="7FFF0A28"/>
    <w:rsid w:val="7FFF3A7E"/>
    <w:rsid w:val="8FFF3353"/>
    <w:rsid w:val="9CBF896A"/>
    <w:rsid w:val="A33D4B8B"/>
    <w:rsid w:val="A75F56E0"/>
    <w:rsid w:val="BFFA55A4"/>
    <w:rsid w:val="BFFBAC19"/>
    <w:rsid w:val="CFF5705B"/>
    <w:rsid w:val="DC5ED6EA"/>
    <w:rsid w:val="E67FB003"/>
    <w:rsid w:val="EB7F9EED"/>
    <w:rsid w:val="EC6FF248"/>
    <w:rsid w:val="EEFF9DCC"/>
    <w:rsid w:val="EF3E74E9"/>
    <w:rsid w:val="F6BEE215"/>
    <w:rsid w:val="F97B3386"/>
    <w:rsid w:val="FA2F43F5"/>
    <w:rsid w:val="FD7D69D4"/>
    <w:rsid w:val="FDD7CDB6"/>
    <w:rsid w:val="FF2EA5B3"/>
    <w:rsid w:val="FFBF2C72"/>
    <w:rsid w:val="FFFFC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autoRedefine/>
    <w:unhideWhenUsed/>
    <w:qFormat/>
    <w:uiPriority w:val="99"/>
    <w:pPr>
      <w:jc w:val="left"/>
    </w:pPr>
  </w:style>
  <w:style w:type="paragraph" w:styleId="3">
    <w:name w:val="Balloon Text"/>
    <w:basedOn w:val="1"/>
    <w:link w:val="13"/>
    <w:autoRedefine/>
    <w:unhideWhenUsed/>
    <w:qFormat/>
    <w:uiPriority w:val="99"/>
    <w:rPr>
      <w:sz w:val="18"/>
      <w:szCs w:val="18"/>
    </w:rPr>
  </w:style>
  <w:style w:type="paragraph" w:styleId="4">
    <w:name w:val="footer"/>
    <w:basedOn w:val="1"/>
    <w:link w:val="14"/>
    <w:autoRedefine/>
    <w:unhideWhenUsed/>
    <w:qFormat/>
    <w:uiPriority w:val="99"/>
    <w:pPr>
      <w:tabs>
        <w:tab w:val="center" w:pos="4153"/>
        <w:tab w:val="right" w:pos="8306"/>
      </w:tabs>
      <w:snapToGrid w:val="0"/>
      <w:jc w:val="left"/>
    </w:pPr>
    <w:rPr>
      <w:sz w:val="18"/>
      <w:szCs w:val="18"/>
    </w:rPr>
  </w:style>
  <w:style w:type="paragraph" w:styleId="5">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autoRedefine/>
    <w:unhideWhenUsed/>
    <w:qFormat/>
    <w:uiPriority w:val="99"/>
    <w:rPr>
      <w:b/>
      <w:bCs/>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autoRedefine/>
    <w:qFormat/>
    <w:uiPriority w:val="22"/>
    <w:rPr>
      <w:b/>
    </w:rPr>
  </w:style>
  <w:style w:type="character" w:styleId="11">
    <w:name w:val="annotation reference"/>
    <w:autoRedefine/>
    <w:unhideWhenUsed/>
    <w:qFormat/>
    <w:uiPriority w:val="99"/>
    <w:rPr>
      <w:sz w:val="21"/>
      <w:szCs w:val="21"/>
    </w:rPr>
  </w:style>
  <w:style w:type="character" w:customStyle="1" w:styleId="12">
    <w:name w:val="批注文字 字符"/>
    <w:link w:val="2"/>
    <w:autoRedefine/>
    <w:qFormat/>
    <w:uiPriority w:val="99"/>
    <w:rPr>
      <w:rFonts w:ascii="等线" w:hAnsi="等线" w:eastAsia="等线"/>
      <w:kern w:val="2"/>
      <w:sz w:val="21"/>
      <w:szCs w:val="22"/>
    </w:rPr>
  </w:style>
  <w:style w:type="character" w:customStyle="1" w:styleId="13">
    <w:name w:val="批注框文本 字符"/>
    <w:link w:val="3"/>
    <w:autoRedefine/>
    <w:semiHidden/>
    <w:qFormat/>
    <w:uiPriority w:val="99"/>
    <w:rPr>
      <w:sz w:val="18"/>
      <w:szCs w:val="18"/>
    </w:rPr>
  </w:style>
  <w:style w:type="character" w:customStyle="1" w:styleId="14">
    <w:name w:val="页脚 字符"/>
    <w:link w:val="4"/>
    <w:autoRedefine/>
    <w:qFormat/>
    <w:uiPriority w:val="99"/>
    <w:rPr>
      <w:sz w:val="18"/>
      <w:szCs w:val="18"/>
    </w:rPr>
  </w:style>
  <w:style w:type="character" w:customStyle="1" w:styleId="15">
    <w:name w:val="页眉 字符"/>
    <w:link w:val="5"/>
    <w:autoRedefine/>
    <w:qFormat/>
    <w:uiPriority w:val="99"/>
    <w:rPr>
      <w:sz w:val="18"/>
      <w:szCs w:val="18"/>
    </w:rPr>
  </w:style>
  <w:style w:type="character" w:customStyle="1" w:styleId="16">
    <w:name w:val="批注主题 字符"/>
    <w:link w:val="6"/>
    <w:autoRedefine/>
    <w:semiHidden/>
    <w:qFormat/>
    <w:uiPriority w:val="99"/>
    <w:rPr>
      <w:rFonts w:ascii="等线" w:hAnsi="等线" w:eastAsia="等线"/>
      <w:b/>
      <w:bCs/>
      <w:kern w:val="2"/>
      <w:sz w:val="21"/>
      <w:szCs w:val="22"/>
    </w:rPr>
  </w:style>
  <w:style w:type="paragraph" w:styleId="17">
    <w:name w:val="List Paragraph"/>
    <w:basedOn w:val="1"/>
    <w:autoRedefine/>
    <w:qFormat/>
    <w:uiPriority w:val="34"/>
    <w:pPr>
      <w:ind w:firstLine="420" w:firstLineChars="200"/>
    </w:pPr>
  </w:style>
  <w:style w:type="paragraph" w:customStyle="1" w:styleId="18">
    <w:name w:val="Default"/>
    <w:autoRedefine/>
    <w:unhideWhenUsed/>
    <w:qFormat/>
    <w:uiPriority w:val="99"/>
    <w:pPr>
      <w:widowControl w:val="0"/>
      <w:autoSpaceDE w:val="0"/>
      <w:autoSpaceDN w:val="0"/>
      <w:adjustRightInd w:val="0"/>
    </w:pPr>
    <w:rPr>
      <w:rFonts w:hint="eastAsia" w:ascii="宋体" w:hAnsi="宋体"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165a2a42-dfe6-4e9c-865b-e597bd5a7479</errorID>
      <errorWord>:</errorWord>
      <group>L1_Format</group>
      <groupName>格式问题</groupName>
      <ability>L2_HalfPunc_CN</ability>
      <abilityName>全半角问题</abilityName>
      <candidateList>
        <item>：</item>
      </candidateList>
      <explain>文本全半角错误。</explain>
      <paraID>3137437A</paraID>
      <start>1</start>
      <end>2</end>
      <status>modified</status>
      <modifiedWord>：</modifiedWord>
      <trackRevisions>false</trackRevisions>
    </reviewItem>
    <reviewItem>
      <errorID>c44c2331-7fb4-4a27-8428-7ddcee59687d</errorID>
      <errorWord>，亦</errorWord>
      <group>L1_Word</group>
      <groupName>字词问题</groupName>
      <ability>L2_Typo</ability>
      <abilityName>字词错误</abilityName>
      <candidateList>
        <item>，</item>
      </candidateList>
      <explain/>
      <paraID>3137437A</paraID>
      <start>99</start>
      <end>100</end>
      <status>modified</status>
      <modifiedWord>，</modifiedWord>
      <trackRevisions>false</trackRevisions>
    </reviewItem>
    <reviewItem>
      <errorID>8c365922-b6bf-40eb-8d03-ace7adfcb75d</errorID>
      <errorWord>:</errorWord>
      <group>L1_Format</group>
      <groupName>格式问题</groupName>
      <ability>L2_HalfPunc_CN</ability>
      <abilityName>全半角问题</abilityName>
      <candidateList>
        <item>：</item>
      </candidateList>
      <explain>文本全半角错误。</explain>
      <paraID>767E2815</paraID>
      <start>1</start>
      <end>2</end>
      <status>modified</status>
      <modifiedWord>：</modifiedWord>
      <trackRevisions>false</trackRevisions>
    </reviewItem>
    <reviewItem>
      <errorID>7ad4ea39-f55f-4fc7-8f09-ae072d39211f</errorID>
      <errorWord>压</errorWord>
      <group>L1_Word</group>
      <groupName>字词问题</groupName>
      <ability>L2_Typo</ability>
      <abilityName>字词错误</abilityName>
      <candidateList>
        <item>压的</item>
      </candidateList>
      <explain/>
      <paraID>175D2509</paraID>
      <start>13</start>
      <end>15</end>
      <status>modified</status>
      <modifiedWord>压的</modifiedWord>
      <trackRevisions>false</trackRevisions>
    </reviewItem>
    <reviewItem>
      <errorID>326ae8ae-377c-4986-82a4-619c5d3de884</errorID>
      <errorWord>:</errorWord>
      <group>L1_Format</group>
      <groupName>格式问题</groupName>
      <ability>L2_HalfPunc_CN</ability>
      <abilityName>全半角问题</abilityName>
      <candidateList>
        <item>：</item>
      </candidateList>
      <explain>文本全半角错误。</explain>
      <paraID>6FA08397</paraID>
      <start>1</start>
      <end>2</end>
      <status>modified</status>
      <modifiedWord>：</modifiedWord>
      <trackRevisions>false</trackRevisions>
    </reviewItem>
    <reviewItem>
      <errorID>951b5a73-4b09-4249-ada3-b3db39f5f6b8</errorID>
      <errorWord>应收帐款</errorWord>
      <group>L1_Word</group>
      <groupName>字词问题</groupName>
      <ability>L2_Alias</ability>
      <abilityName>也作/曾用词</abilityName>
      <candidateList>
        <item>应收账款</item>
      </candidateList>
      <explain>词汇[应收帐款]为不规范表述或旧称，其规范书面表述为[应收账款]。</explain>
      <paraID>6FA08397</paraID>
      <start>65</start>
      <end>69</end>
      <status>modified</status>
      <modifiedWord>应收账款</modifiedWord>
      <trackRevisions>false</trackRevisions>
    </reviewItem>
    <reviewItem>
      <errorID>5ca179f0-8e3f-4fbe-830e-6f26784730b1</errorID>
      <errorWord>:</errorWord>
      <group>L1_Format</group>
      <groupName>格式问题</groupName>
      <ability>L2_HalfPunc_CN</ability>
      <abilityName>全半角问题</abilityName>
      <candidateList>
        <item>：</item>
      </candidateList>
      <explain>文本全半角错误。</explain>
      <paraID> 516BA24</paraID>
      <start>1</start>
      <end>2</end>
      <status>modified</status>
      <modifiedWord>：</modifiedWord>
      <trackRevisions>false</trackRevisions>
    </reviewItem>
    <reviewItem>
      <errorID>d35186d0-3536-453d-91a9-11ca824b1125</errorID>
      <errorWord>价盘</errorWord>
      <group>L1_Word</group>
      <groupName>字词问题</groupName>
      <ability>L2_Typo</ability>
      <abilityName>字词错误</abilityName>
      <candidateList>
        <item>价格</item>
      </candidateList>
      <explain/>
      <paraID> CA24B15</paraID>
      <start>152</start>
      <end>154</end>
      <status>ignored</status>
      <modifiedWord/>
      <trackRevisions>false</trackRevisions>
    </reviewItem>
    <reviewItem>
      <errorID>6c2acbb7-54af-49de-b998-0bb16c0fb93d</errorID>
      <errorWord>:</errorWord>
      <group>L1_Format</group>
      <groupName>格式问题</groupName>
      <ability>L2_HalfPunc_CN</ability>
      <abilityName>全半角问题</abilityName>
      <candidateList>
        <item>：</item>
      </candidateList>
      <explain>文本全半角错误。</explain>
      <paraID>144EA40C</paraID>
      <start>1</start>
      <end>2</end>
      <status>modified</status>
      <modifiedWord>：</modifiedWord>
      <trackRevisions>false</trackRevisions>
    </reviewItem>
    <reviewItem>
      <errorID>c02d1f93-c3d7-47f9-9346-c05b0193d37d</errorID>
      <errorWord>:</errorWord>
      <group>L1_Format</group>
      <groupName>格式问题</groupName>
      <ability>L2_HalfPunc_CN</ability>
      <abilityName>全半角问题</abilityName>
      <candidateList>
        <item>：</item>
      </candidateList>
      <explain>文本全半角错误。</explain>
      <paraID>234ACFF8</paraID>
      <start>1</start>
      <end>2</end>
      <status>modified</status>
      <modifiedWord>：</modifiedWord>
      <trackRevisions>false</trackRevisions>
    </reviewItem>
    <reviewItem>
      <errorID>66d1e41d-bcb3-41b8-9b31-3e4a1aa30cc1</errorID>
      <errorWord>:</errorWord>
      <group>L1_Format</group>
      <groupName>格式问题</groupName>
      <ability>L2_HalfPunc_CN</ability>
      <abilityName>全半角问题</abilityName>
      <candidateList>
        <item>：</item>
      </candidateList>
      <explain>文本全半角错误。</explain>
      <paraID>7E8B83ED</paraID>
      <start>1</start>
      <end>2</end>
      <status>modified</status>
      <modifiedWord>：</modifiedWord>
      <trackRevisions>false</trackRevisions>
    </reviewItem>
    <reviewItem>
      <errorID>d1f82c6f-eeb3-4502-9953-11012229628a</errorID>
      <errorWord>:</errorWord>
      <group>L1_Format</group>
      <groupName>格式问题</groupName>
      <ability>L2_HalfPunc_CN</ability>
      <abilityName>全半角问题</abilityName>
      <candidateList>
        <item>：</item>
      </candidateList>
      <explain>文本全半角错误。</explain>
      <paraID>283EB641</paraID>
      <start>1</start>
      <end>2</end>
      <status>modified</status>
      <modifiedWord>：</modifiedWord>
      <trackRevisions>false</trackRevisions>
    </reviewItem>
    <reviewItem>
      <errorID>b951d5dc-a205-43bf-b08e-3f867c7b96dc</errorID>
      <errorWord>:</errorWord>
      <group>L1_Format</group>
      <groupName>格式问题</groupName>
      <ability>L2_HalfPunc_CN</ability>
      <abilityName>全半角问题</abilityName>
      <candidateList>
        <item>：</item>
      </candidateList>
      <explain>文本全半角错误。</explain>
      <paraID> 4FE33C0</paraID>
      <start>1</start>
      <end>2</end>
      <status>modified</status>
      <modifiedWord>：</modifiedWord>
      <trackRevisions>false</trackRevisions>
    </reviewItem>
    <reviewItem>
      <errorID>cd6211a1-3f3e-443b-addb-6864ab439158</errorID>
      <errorWord>:</errorWord>
      <group>L1_Format</group>
      <groupName>格式问题</groupName>
      <ability>L2_HalfPunc_CN</ability>
      <abilityName>全半角问题</abilityName>
      <candidateList>
        <item>：</item>
      </candidateList>
      <explain>文本全半角错误。</explain>
      <paraID>6EF81A9E</paraID>
      <start>1</start>
      <end>2</end>
      <status>modified</status>
      <modifiedWord>：</modifiedWord>
      <trackRevisions>false</trackRevisions>
    </reviewItem>
    <reviewItem>
      <errorID>f93c701d-867a-44c1-8d33-daf6ca286f75</errorID>
      <errorWord>:</errorWord>
      <group>L1_Format</group>
      <groupName>格式问题</groupName>
      <ability>L2_HalfPunc_CN</ability>
      <abilityName>全半角问题</abilityName>
      <candidateList>
        <item>：</item>
      </candidateList>
      <explain>文本全半角错误。</explain>
      <paraID>4F9197A1</paraID>
      <start>1</start>
      <end>2</end>
      <status>modified</status>
      <modifiedWord>：</modifiedWord>
      <trackRevisions>false</trackRevisions>
    </reviewItem>
    <reviewItem>
      <errorID>3e279d8b-ae9f-43a8-8c28-63f91d60330c</errorID>
      <errorWord>:</errorWord>
      <group>L1_Format</group>
      <groupName>格式问题</groupName>
      <ability>L2_HalfPunc_CN</ability>
      <abilityName>全半角问题</abilityName>
      <candidateList>
        <item>：</item>
      </candidateList>
      <explain>文本全半角错误。</explain>
      <paraID>  A20B99</paraID>
      <start>1</start>
      <end>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c28aa6-3a31-41ab-befa-2a0d512692ab}">
  <ds:schemaRefs/>
</ds:datastoreItem>
</file>

<file path=docProps/app.xml><?xml version="1.0" encoding="utf-8"?>
<Properties xmlns="http://schemas.openxmlformats.org/officeDocument/2006/extended-properties" xmlns:vt="http://schemas.openxmlformats.org/officeDocument/2006/docPropsVTypes">
  <Template>Normal</Template>
  <Company>GYBYS</Company>
  <Pages>6</Pages>
  <Words>3122</Words>
  <Characters>3226</Characters>
  <Lines>22</Lines>
  <Paragraphs>6</Paragraphs>
  <TotalTime>362</TotalTime>
  <ScaleCrop>false</ScaleCrop>
  <LinksUpToDate>false</LinksUpToDate>
  <CharactersWithSpaces>3272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2023-09-13T22:13:00Z</dcterms:created>
  <dc:creator>Licy</dc:creator>
  <cp:lastModifiedBy>瑶</cp:lastModifiedBy>
  <cp:lastPrinted>2026-09-16T02:53:33Z</cp:lastPrinted>
  <dcterms:modified xsi:type="dcterms:W3CDTF">2026-09-16T06:13:07Z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95A745FF9DCB47A4A80D28D31A073831_13</vt:lpwstr>
  </property>
  <property fmtid="{D5CDD505-2E9C-101B-9397-08002B2CF9AE}" pid="4" name="KSOTemplateDocerSaveRecord">
    <vt:lpwstr>eyJoZGlkIjoiNmFhMmVlNzFjNDI0ZTliMTBjN2NmZDYxODZkZGVmMDciLCJ1c2VySWQiOiIzMzY0MjI1NDgifQ==</vt:lpwstr>
  </property>
</Properties>
</file>