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6AC535" w14:textId="77777777" w:rsidR="00E73CCE" w:rsidRDefault="00394113">
      <w:pPr>
        <w:pStyle w:val="1"/>
        <w:rPr>
          <w:rFonts w:ascii="宋体" w:eastAsia="宋体" w:hAnsi="宋体" w:cs="宋体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  <w:lang w:val="en-US"/>
        </w:rPr>
        <w:t>证券代码：</w:t>
      </w:r>
      <w:r>
        <w:rPr>
          <w:rFonts w:ascii="宋体" w:eastAsia="宋体" w:hAnsi="宋体" w:cs="宋体" w:hint="eastAsia"/>
          <w:sz w:val="20"/>
          <w:szCs w:val="20"/>
          <w:lang w:val="en-US"/>
        </w:rPr>
        <w:t xml:space="preserve">600982                                                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证券简称：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宁波能源</w:t>
      </w:r>
    </w:p>
    <w:p w14:paraId="2EC506EE" w14:textId="77777777" w:rsidR="00E73CCE" w:rsidRDefault="00E73CCE">
      <w:pPr>
        <w:spacing w:line="360" w:lineRule="auto"/>
        <w:jc w:val="center"/>
        <w:rPr>
          <w:rFonts w:ascii="宋体" w:eastAsia="宋体" w:hAnsi="宋体" w:cs="宋体"/>
          <w:b/>
          <w:bCs/>
          <w:sz w:val="44"/>
          <w:szCs w:val="44"/>
        </w:rPr>
      </w:pPr>
    </w:p>
    <w:p w14:paraId="605D722B" w14:textId="77777777" w:rsidR="00E73CCE" w:rsidRDefault="00394113">
      <w:pPr>
        <w:spacing w:line="360" w:lineRule="auto"/>
        <w:jc w:val="center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宁波能源集团股份有限公司</w:t>
      </w:r>
    </w:p>
    <w:p w14:paraId="43D57C58" w14:textId="77777777" w:rsidR="00E73CCE" w:rsidRDefault="00394113">
      <w:pPr>
        <w:spacing w:line="360" w:lineRule="auto"/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投资者关系活动记录表</w:t>
      </w:r>
    </w:p>
    <w:p w14:paraId="5DC8C46A" w14:textId="77777777" w:rsidR="00E73CCE" w:rsidRDefault="00394113">
      <w:pPr>
        <w:spacing w:before="51" w:after="32"/>
        <w:ind w:right="619"/>
        <w:jc w:val="right"/>
        <w:rPr>
          <w:rFonts w:ascii="宋体" w:eastAsia="宋体" w:hAnsi="宋体" w:cs="宋体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</w:rPr>
        <w:t>编号：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2026</w:t>
      </w:r>
      <w:r>
        <w:rPr>
          <w:rFonts w:ascii="宋体" w:eastAsia="宋体" w:hAnsi="宋体" w:cs="宋体" w:hint="eastAsia"/>
          <w:sz w:val="20"/>
          <w:szCs w:val="20"/>
        </w:rPr>
        <w:t>-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002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E73CCE" w14:paraId="7B282A50" w14:textId="77777777" w:rsidTr="00394113">
        <w:trPr>
          <w:trHeight w:val="1367"/>
          <w:jc w:val="center"/>
        </w:trPr>
        <w:tc>
          <w:tcPr>
            <w:tcW w:w="2580" w:type="dxa"/>
          </w:tcPr>
          <w:p w14:paraId="0B8B0158" w14:textId="77777777" w:rsidR="00E73CCE" w:rsidRDefault="00E73CCE">
            <w:pPr>
              <w:pStyle w:val="TableParagraph"/>
              <w:spacing w:before="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4E0DD447" w14:textId="77777777" w:rsidR="00E73CCE" w:rsidRDefault="00394113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3CDF3231" w14:textId="61F5A9AC" w:rsidR="00E73CCE" w:rsidRDefault="00394113" w:rsidP="00394113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调研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分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析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师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议</w:t>
            </w:r>
          </w:p>
          <w:p w14:paraId="3DB27D56" w14:textId="670A0C08" w:rsidR="00E73CCE" w:rsidRDefault="00394113" w:rsidP="00394113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媒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体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采访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Wingdings 2" w:eastAsia="MS Gothic" w:hAnsi="Wingdings 2" w:cs="宋体"/>
                    <w:sz w:val="20"/>
                    <w:szCs w:val="20"/>
                  </w:rPr>
                  <w:t>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业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绩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说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明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</w:p>
          <w:p w14:paraId="68C32FFB" w14:textId="4E33A4E3" w:rsidR="00E73CCE" w:rsidRDefault="00394113" w:rsidP="00394113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新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闻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发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布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路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活动</w:t>
            </w:r>
          </w:p>
          <w:p w14:paraId="157C39B6" w14:textId="032BF2D4" w:rsidR="00E73CCE" w:rsidRDefault="00394113" w:rsidP="00394113">
            <w:pPr>
              <w:pStyle w:val="TableParagraph"/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现场参观</w:t>
            </w:r>
          </w:p>
          <w:p w14:paraId="61D2D401" w14:textId="77777777" w:rsidR="00E73CCE" w:rsidRDefault="00394113">
            <w:pPr>
              <w:pStyle w:val="TableParagraph"/>
              <w:ind w:left="107"/>
              <w:rPr>
                <w:rFonts w:ascii="宋体" w:eastAsia="宋体" w:hAnsi="宋体" w:cs="宋体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其他（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请文字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说明其他活动内容）</w:t>
            </w:r>
          </w:p>
        </w:tc>
      </w:tr>
      <w:tr w:rsidR="00E73CCE" w14:paraId="6F2B3FCA" w14:textId="77777777" w:rsidTr="00394113">
        <w:trPr>
          <w:trHeight w:val="395"/>
          <w:jc w:val="center"/>
        </w:trPr>
        <w:tc>
          <w:tcPr>
            <w:tcW w:w="2580" w:type="dxa"/>
            <w:vAlign w:val="center"/>
          </w:tcPr>
          <w:p w14:paraId="0B0E782B" w14:textId="77777777" w:rsidR="00E73CCE" w:rsidRDefault="00394113">
            <w:pPr>
              <w:pStyle w:val="TableParagraph"/>
              <w:ind w:left="107"/>
              <w:rPr>
                <w:rFonts w:asciiTheme="minorEastAsia" w:eastAsiaTheme="minorEastAsia" w:hAnsiTheme="minorEastAsia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715100FB" w14:textId="77777777" w:rsidR="00E73CCE" w:rsidRDefault="00394113">
            <w:pPr>
              <w:spacing w:before="100" w:beforeAutospacing="1" w:line="360" w:lineRule="auto"/>
              <w:rPr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2026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09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17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日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16:00-17:00</w:t>
            </w:r>
          </w:p>
        </w:tc>
      </w:tr>
      <w:tr w:rsidR="00E73CCE" w14:paraId="305F293A" w14:textId="77777777" w:rsidTr="00394113">
        <w:trPr>
          <w:trHeight w:val="429"/>
          <w:jc w:val="center"/>
        </w:trPr>
        <w:tc>
          <w:tcPr>
            <w:tcW w:w="2580" w:type="dxa"/>
            <w:vAlign w:val="center"/>
          </w:tcPr>
          <w:p w14:paraId="1FB1CE9A" w14:textId="77777777" w:rsidR="00E73CCE" w:rsidRDefault="00394113">
            <w:pPr>
              <w:pStyle w:val="TableParagraph"/>
              <w:ind w:left="107"/>
              <w:rPr>
                <w:rFonts w:asciiTheme="minorEastAsia" w:eastAsiaTheme="minorEastAsia" w:hAnsiTheme="minorEastAsia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7A74ACD4" w14:textId="77777777" w:rsidR="00E73CCE" w:rsidRDefault="00394113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/>
                <w:sz w:val="20"/>
                <w:szCs w:val="20"/>
              </w:rPr>
              <w:t>价值在线（</w:t>
            </w:r>
            <w:r>
              <w:rPr>
                <w:rFonts w:asciiTheme="minorEastAsia" w:eastAsiaTheme="minorEastAsia" w:hAnsiTheme="minorEastAsia" w:cs="宋体"/>
                <w:sz w:val="20"/>
                <w:szCs w:val="20"/>
              </w:rPr>
              <w:t>https://www.ir-online.cn/</w:t>
            </w:r>
            <w:r>
              <w:rPr>
                <w:rFonts w:asciiTheme="minorEastAsia" w:eastAsiaTheme="minorEastAsia" w:hAnsiTheme="minorEastAsia" w:cs="宋体"/>
                <w:sz w:val="20"/>
                <w:szCs w:val="20"/>
              </w:rPr>
              <w:t>）网络互动</w:t>
            </w:r>
          </w:p>
        </w:tc>
      </w:tr>
      <w:tr w:rsidR="00E73CCE" w14:paraId="39AFEEF0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3E964F45" w14:textId="77777777" w:rsidR="00E73CCE" w:rsidRDefault="00394113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1EE05DFA" w14:textId="77777777" w:rsidR="00E73CCE" w:rsidRDefault="00394113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董事长马奕飞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>
              <w:rPr>
                <w:rFonts w:ascii="宋体" w:eastAsia="宋体" w:hAnsi="宋体" w:cs="宋体"/>
                <w:sz w:val="20"/>
                <w:szCs w:val="20"/>
              </w:rPr>
              <w:t>副董事长、总经理诸南虎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>
              <w:rPr>
                <w:rFonts w:ascii="宋体" w:eastAsia="宋体" w:hAnsi="宋体" w:cs="宋体"/>
                <w:sz w:val="20"/>
                <w:szCs w:val="20"/>
              </w:rPr>
              <w:t>独立董事郑曙光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>
              <w:rPr>
                <w:rFonts w:ascii="宋体" w:eastAsia="宋体" w:hAnsi="宋体" w:cs="宋体"/>
                <w:sz w:val="20"/>
                <w:szCs w:val="20"/>
              </w:rPr>
              <w:t>副总经理、财务负责人夏雪玲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>
              <w:rPr>
                <w:rFonts w:ascii="宋体" w:eastAsia="宋体" w:hAnsi="宋体" w:cs="宋体"/>
                <w:sz w:val="20"/>
                <w:szCs w:val="20"/>
              </w:rPr>
              <w:t>副总经理、董事会秘书沈琦</w:t>
            </w:r>
          </w:p>
        </w:tc>
      </w:tr>
      <w:tr w:rsidR="00E73CCE" w14:paraId="100366A4" w14:textId="77777777">
        <w:trPr>
          <w:trHeight w:val="2800"/>
          <w:jc w:val="center"/>
        </w:trPr>
        <w:tc>
          <w:tcPr>
            <w:tcW w:w="2580" w:type="dxa"/>
          </w:tcPr>
          <w:p w14:paraId="1332EE9F" w14:textId="77777777" w:rsidR="00E73CCE" w:rsidRDefault="00E73CCE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07520D91" w14:textId="77777777" w:rsidR="00E73CCE" w:rsidRDefault="00E73CCE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6CE844BF" w14:textId="77777777" w:rsidR="00E73CCE" w:rsidRDefault="00E73CCE">
            <w:pPr>
              <w:pStyle w:val="TableParagraph"/>
              <w:spacing w:before="5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14:paraId="68CB5D76" w14:textId="77777777" w:rsidR="00E73CCE" w:rsidRDefault="00394113">
            <w:pPr>
              <w:pStyle w:val="TableParagraph"/>
              <w:spacing w:before="1" w:line="499" w:lineRule="auto"/>
              <w:ind w:left="107" w:right="96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7B64BE38" w14:textId="77777777" w:rsidR="00E73CCE" w:rsidRDefault="00394113">
            <w:pPr>
              <w:pStyle w:val="TableParagraph"/>
              <w:spacing w:line="360" w:lineRule="auto"/>
              <w:ind w:firstLineChars="200" w:firstLine="402"/>
              <w:jc w:val="both"/>
              <w:rPr>
                <w:rFonts w:ascii="宋体" w:eastAsia="宋体" w:hAnsi="宋体" w:cs="宋体"/>
                <w:sz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</w:rPr>
              <w:t>1.</w:t>
            </w:r>
            <w:r>
              <w:rPr>
                <w:rFonts w:ascii="宋体" w:eastAsia="宋体" w:hAnsi="宋体" w:cs="宋体"/>
                <w:b/>
                <w:bCs/>
                <w:sz w:val="20"/>
              </w:rPr>
              <w:t>公司</w:t>
            </w:r>
            <w:r>
              <w:rPr>
                <w:rFonts w:ascii="宋体" w:eastAsia="宋体" w:hAnsi="宋体" w:cs="宋体"/>
                <w:b/>
                <w:sz w:val="20"/>
              </w:rPr>
              <w:t>上半年归母净利</w:t>
            </w:r>
            <w:r>
              <w:rPr>
                <w:rFonts w:ascii="宋体" w:eastAsia="宋体" w:hAnsi="宋体" w:cs="宋体"/>
                <w:b/>
                <w:sz w:val="20"/>
              </w:rPr>
              <w:t>1.59</w:t>
            </w:r>
            <w:r>
              <w:rPr>
                <w:rFonts w:ascii="宋体" w:eastAsia="宋体" w:hAnsi="宋体" w:cs="宋体"/>
                <w:b/>
                <w:sz w:val="20"/>
              </w:rPr>
              <w:t>亿到第二季度单季归母净利同比下降百分之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12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，单季下滑的主要原因是什么，是电价</w:t>
            </w:r>
            <w:r>
              <w:rPr>
                <w:rFonts w:ascii="宋体" w:eastAsia="宋体" w:hAnsi="宋体" w:cs="宋体"/>
                <w:b/>
                <w:sz w:val="20"/>
              </w:rPr>
              <w:t>/</w:t>
            </w:r>
            <w:r>
              <w:rPr>
                <w:rFonts w:ascii="宋体" w:eastAsia="宋体" w:hAnsi="宋体" w:cs="宋体"/>
                <w:b/>
                <w:sz w:val="20"/>
              </w:rPr>
              <w:t>热价波动？燃料成本？还是证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劵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投资浮亏集中确认？</w:t>
            </w:r>
            <w:r>
              <w:rPr>
                <w:rFonts w:ascii="宋体" w:eastAsia="宋体" w:hAnsi="宋体" w:cs="宋体"/>
                <w:b/>
                <w:sz w:val="20"/>
              </w:rPr>
              <w:t>Q3</w:t>
            </w:r>
            <w:r>
              <w:rPr>
                <w:rFonts w:ascii="宋体" w:eastAsia="宋体" w:hAnsi="宋体" w:cs="宋体"/>
                <w:b/>
                <w:sz w:val="20"/>
              </w:rPr>
              <w:t>这一趋势是否延续？</w:t>
            </w:r>
          </w:p>
          <w:p w14:paraId="0790E6C0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尊敬的投资者，您好！感谢您对公司的关心与关注。我公司一季度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归母净利润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为</w:t>
            </w:r>
            <w:r>
              <w:rPr>
                <w:rFonts w:ascii="宋体" w:eastAsia="宋体" w:hAnsi="宋体" w:cs="宋体"/>
                <w:sz w:val="20"/>
              </w:rPr>
              <w:t>7,251.81</w:t>
            </w:r>
            <w:r>
              <w:rPr>
                <w:rFonts w:ascii="宋体" w:eastAsia="宋体" w:hAnsi="宋体" w:cs="宋体"/>
                <w:sz w:val="20"/>
              </w:rPr>
              <w:t>万元，二季度当季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归母净利润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为</w:t>
            </w:r>
            <w:r>
              <w:rPr>
                <w:rFonts w:ascii="宋体" w:eastAsia="宋体" w:hAnsi="宋体" w:cs="宋体"/>
                <w:sz w:val="20"/>
              </w:rPr>
              <w:t>8,610.18</w:t>
            </w:r>
            <w:r>
              <w:rPr>
                <w:rFonts w:ascii="宋体" w:eastAsia="宋体" w:hAnsi="宋体" w:cs="宋体"/>
                <w:sz w:val="20"/>
              </w:rPr>
              <w:t>万元，环比增长</w:t>
            </w:r>
            <w:r>
              <w:rPr>
                <w:rFonts w:ascii="宋体" w:eastAsia="宋体" w:hAnsi="宋体" w:cs="宋体"/>
                <w:sz w:val="20"/>
              </w:rPr>
              <w:t>18.73%</w:t>
            </w:r>
            <w:r>
              <w:rPr>
                <w:rFonts w:ascii="宋体" w:eastAsia="宋体" w:hAnsi="宋体" w:cs="宋体"/>
                <w:sz w:val="20"/>
              </w:rPr>
              <w:t>。</w:t>
            </w:r>
          </w:p>
          <w:p w14:paraId="78C434BE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上年二季度当季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归母净利润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为</w:t>
            </w:r>
            <w:r>
              <w:rPr>
                <w:rFonts w:ascii="宋体" w:eastAsia="宋体" w:hAnsi="宋体" w:cs="宋体"/>
                <w:sz w:val="20"/>
              </w:rPr>
              <w:t>9,826.72</w:t>
            </w:r>
            <w:r>
              <w:rPr>
                <w:rFonts w:ascii="宋体" w:eastAsia="宋体" w:hAnsi="宋体" w:cs="宋体"/>
                <w:sz w:val="20"/>
              </w:rPr>
              <w:t>万元，同比下降</w:t>
            </w:r>
            <w:r>
              <w:rPr>
                <w:rFonts w:ascii="宋体" w:eastAsia="宋体" w:hAnsi="宋体" w:cs="宋体"/>
                <w:sz w:val="20"/>
              </w:rPr>
              <w:t>12.38%</w:t>
            </w:r>
            <w:r>
              <w:rPr>
                <w:rFonts w:ascii="宋体" w:eastAsia="宋体" w:hAnsi="宋体" w:cs="宋体"/>
                <w:sz w:val="20"/>
              </w:rPr>
              <w:t>。主要系本年二季度与上年二季度公允价值变动差异所致。公司各项经营业务稳定</w:t>
            </w:r>
            <w:r>
              <w:rPr>
                <w:rFonts w:ascii="宋体" w:eastAsia="宋体" w:hAnsi="宋体" w:cs="宋体" w:hint="eastAsia"/>
                <w:sz w:val="20"/>
              </w:rPr>
              <w:t>。</w:t>
            </w:r>
            <w:r>
              <w:rPr>
                <w:rFonts w:ascii="宋体" w:eastAsia="宋体" w:hAnsi="宋体" w:cs="宋体"/>
                <w:sz w:val="20"/>
              </w:rPr>
              <w:t>Q3</w:t>
            </w:r>
            <w:r>
              <w:rPr>
                <w:rFonts w:ascii="宋体" w:eastAsia="宋体" w:hAnsi="宋体" w:cs="宋体"/>
                <w:sz w:val="20"/>
              </w:rPr>
              <w:t>趋势请关注公司相关公告。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2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中报提到生物质板块利润进一步增长，明州热电上半年实现扭亏，生物质锅炉创历史最长连续运行记录，请问扭亏的核心驱动是什么？下半年能否持续，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生物质国补退坡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对盈利的影响大吗</w:t>
            </w:r>
            <w:r>
              <w:rPr>
                <w:rFonts w:ascii="宋体" w:eastAsia="宋体" w:hAnsi="宋体" w:cs="宋体"/>
                <w:b/>
                <w:sz w:val="20"/>
              </w:rPr>
              <w:t>？</w:t>
            </w:r>
          </w:p>
          <w:p w14:paraId="72DAF2F0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lastRenderedPageBreak/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投资者您好，公司生物质板块持续深化板块化运营与资源整合，通过技术改造、燃料成本管控、管理优化等组合举措，释放板块经营活力。</w:t>
            </w:r>
            <w:r>
              <w:rPr>
                <w:rFonts w:ascii="宋体" w:eastAsia="宋体" w:hAnsi="宋体" w:cs="宋体"/>
                <w:sz w:val="20"/>
              </w:rPr>
              <w:t>与此同时，公司进一步加强生物质热平台转化相关研究，同时公司积极探索生物质气化耦合制氢、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炭材料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制备、生物质制糖等多元化应用路径，持续提升产品附加值与产业链延伸能力。</w:t>
            </w:r>
            <w:r>
              <w:rPr>
                <w:rFonts w:ascii="宋体" w:eastAsia="宋体" w:hAnsi="宋体" w:cs="宋体"/>
                <w:sz w:val="20"/>
              </w:rPr>
              <w:t>生物质的高效利用能够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有效降碳节煤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，消纳生物质废弃物、带动农民增收，从而形成</w:t>
            </w:r>
            <w:r>
              <w:rPr>
                <w:rFonts w:ascii="宋体" w:eastAsia="宋体" w:hAnsi="宋体" w:cs="宋体"/>
                <w:sz w:val="20"/>
              </w:rPr>
              <w:t>“</w:t>
            </w:r>
            <w:r>
              <w:rPr>
                <w:rFonts w:ascii="宋体" w:eastAsia="宋体" w:hAnsi="宋体" w:cs="宋体"/>
                <w:sz w:val="20"/>
              </w:rPr>
              <w:t>资源回收</w:t>
            </w:r>
            <w:r>
              <w:rPr>
                <w:rFonts w:ascii="宋体" w:eastAsia="宋体" w:hAnsi="宋体" w:cs="宋体"/>
                <w:sz w:val="20"/>
              </w:rPr>
              <w:t>-</w:t>
            </w:r>
            <w:r>
              <w:rPr>
                <w:rFonts w:ascii="宋体" w:eastAsia="宋体" w:hAnsi="宋体" w:cs="宋体"/>
                <w:sz w:val="20"/>
              </w:rPr>
              <w:t>能源转化</w:t>
            </w:r>
            <w:r>
              <w:rPr>
                <w:rFonts w:ascii="宋体" w:eastAsia="宋体" w:hAnsi="宋体" w:cs="宋体"/>
                <w:sz w:val="20"/>
              </w:rPr>
              <w:t>-</w:t>
            </w:r>
            <w:r>
              <w:rPr>
                <w:rFonts w:ascii="宋体" w:eastAsia="宋体" w:hAnsi="宋体" w:cs="宋体"/>
                <w:sz w:val="20"/>
              </w:rPr>
              <w:t>生态循环</w:t>
            </w:r>
            <w:r>
              <w:rPr>
                <w:rFonts w:ascii="宋体" w:eastAsia="宋体" w:hAnsi="宋体" w:cs="宋体"/>
                <w:sz w:val="20"/>
              </w:rPr>
              <w:t>”</w:t>
            </w:r>
            <w:r>
              <w:rPr>
                <w:rFonts w:ascii="宋体" w:eastAsia="宋体" w:hAnsi="宋体" w:cs="宋体"/>
                <w:sz w:val="20"/>
              </w:rPr>
              <w:t>的可持续发展闭环，同步达成环境效益、经济效益与社会效益的协同提升。谢谢您的关注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3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请问公司现行的分红政策</w:t>
            </w:r>
            <w:r>
              <w:rPr>
                <w:rFonts w:ascii="宋体" w:eastAsia="宋体" w:hAnsi="宋体" w:cs="宋体"/>
                <w:b/>
                <w:sz w:val="20"/>
              </w:rPr>
              <w:t>，未来现金分红的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考量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因素？</w:t>
            </w:r>
          </w:p>
          <w:p w14:paraId="6A0D105A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投资者您好，公司自</w:t>
            </w:r>
            <w:r>
              <w:rPr>
                <w:rFonts w:ascii="宋体" w:eastAsia="宋体" w:hAnsi="宋体" w:cs="宋体"/>
                <w:sz w:val="20"/>
              </w:rPr>
              <w:t>2004</w:t>
            </w:r>
            <w:r>
              <w:rPr>
                <w:rFonts w:ascii="宋体" w:eastAsia="宋体" w:hAnsi="宋体" w:cs="宋体"/>
                <w:sz w:val="20"/>
              </w:rPr>
              <w:t>年上市以来始终坚持稳定现金分红政策，以实实在在股东回报彰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显企业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价值。近三年公司累计分红超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eastAsia="宋体" w:hAnsi="宋体" w:cs="宋体"/>
                <w:sz w:val="20"/>
              </w:rPr>
              <w:t>亿元，</w:t>
            </w:r>
            <w:r>
              <w:rPr>
                <w:rFonts w:ascii="宋体" w:eastAsia="宋体" w:hAnsi="宋体" w:cs="宋体"/>
                <w:sz w:val="20"/>
              </w:rPr>
              <w:t>2025</w:t>
            </w:r>
            <w:r>
              <w:rPr>
                <w:rFonts w:ascii="宋体" w:eastAsia="宋体" w:hAnsi="宋体" w:cs="宋体"/>
                <w:sz w:val="20"/>
              </w:rPr>
              <w:t>年分红率超过</w:t>
            </w:r>
            <w:r>
              <w:rPr>
                <w:rFonts w:ascii="宋体" w:eastAsia="宋体" w:hAnsi="宋体" w:cs="宋体"/>
                <w:sz w:val="20"/>
              </w:rPr>
              <w:t>50%</w:t>
            </w:r>
            <w:r>
              <w:rPr>
                <w:rFonts w:ascii="宋体" w:eastAsia="宋体" w:hAnsi="宋体" w:cs="宋体"/>
                <w:sz w:val="20"/>
              </w:rPr>
              <w:t>，有效增强了投资者信心，稳定市场价值，相关利润分配方案严格按照《公司章程》执行。未来公司会继续秉承</w:t>
            </w:r>
            <w:r>
              <w:rPr>
                <w:rFonts w:ascii="宋体" w:eastAsia="宋体" w:hAnsi="宋体" w:cs="宋体"/>
                <w:sz w:val="20"/>
              </w:rPr>
              <w:t>“</w:t>
            </w:r>
            <w:r>
              <w:rPr>
                <w:rFonts w:ascii="宋体" w:eastAsia="宋体" w:hAnsi="宋体" w:cs="宋体"/>
                <w:sz w:val="20"/>
              </w:rPr>
              <w:t>与股东共享发展成果</w:t>
            </w:r>
            <w:r>
              <w:rPr>
                <w:rFonts w:ascii="宋体" w:eastAsia="宋体" w:hAnsi="宋体" w:cs="宋体"/>
                <w:sz w:val="20"/>
              </w:rPr>
              <w:t>”</w:t>
            </w:r>
            <w:r>
              <w:rPr>
                <w:rFonts w:ascii="宋体" w:eastAsia="宋体" w:hAnsi="宋体" w:cs="宋体"/>
                <w:sz w:val="20"/>
              </w:rPr>
              <w:t>的理念，在确保公司健康发展的前提下，努力做好经营管理工作，为股东创造长期稳定的回报。感谢您对公司的关注。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4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作为宁波当地最大的新能源电力、蒸汽供应商，为蒸汽业业绩反而超过了电力业绩？在未来会在哪些领域得</w:t>
            </w:r>
            <w:r>
              <w:rPr>
                <w:rFonts w:ascii="宋体" w:eastAsia="宋体" w:hAnsi="宋体" w:cs="宋体"/>
                <w:b/>
                <w:sz w:val="20"/>
              </w:rPr>
              <w:t>到突破？并给投资人带来何等投资回报？</w:t>
            </w:r>
          </w:p>
          <w:p w14:paraId="2DEF4FDF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投资者您好。热电联产作为公司基本盘，采用</w:t>
            </w:r>
            <w:r>
              <w:rPr>
                <w:rFonts w:ascii="宋体" w:eastAsia="宋体" w:hAnsi="宋体" w:cs="宋体"/>
                <w:sz w:val="20"/>
              </w:rPr>
              <w:t>“</w:t>
            </w:r>
            <w:r>
              <w:rPr>
                <w:rFonts w:ascii="宋体" w:eastAsia="宋体" w:hAnsi="宋体" w:cs="宋体"/>
                <w:sz w:val="20"/>
              </w:rPr>
              <w:t>以热定电</w:t>
            </w:r>
            <w:r>
              <w:rPr>
                <w:rFonts w:ascii="宋体" w:eastAsia="宋体" w:hAnsi="宋体" w:cs="宋体"/>
                <w:sz w:val="20"/>
              </w:rPr>
              <w:t>”</w:t>
            </w:r>
            <w:r>
              <w:rPr>
                <w:rFonts w:ascii="宋体" w:eastAsia="宋体" w:hAnsi="宋体" w:cs="宋体"/>
                <w:sz w:val="20"/>
              </w:rPr>
              <w:t>模式，蒸汽业务业绩超过电力业务，是热电联产商业模式的正常体现。未来公司将紧扣</w:t>
            </w:r>
            <w:r>
              <w:rPr>
                <w:rFonts w:ascii="宋体" w:eastAsia="宋体" w:hAnsi="宋体" w:cs="宋体"/>
                <w:sz w:val="20"/>
              </w:rPr>
              <w:t>“</w:t>
            </w:r>
            <w:r>
              <w:rPr>
                <w:rFonts w:ascii="宋体" w:eastAsia="宋体" w:hAnsi="宋体" w:cs="宋体"/>
                <w:sz w:val="20"/>
              </w:rPr>
              <w:t>双碳</w:t>
            </w:r>
            <w:r>
              <w:rPr>
                <w:rFonts w:ascii="宋体" w:eastAsia="宋体" w:hAnsi="宋体" w:cs="宋体"/>
                <w:sz w:val="20"/>
              </w:rPr>
              <w:t>”</w:t>
            </w:r>
            <w:r>
              <w:rPr>
                <w:rFonts w:ascii="宋体" w:eastAsia="宋体" w:hAnsi="宋体" w:cs="宋体"/>
                <w:sz w:val="20"/>
              </w:rPr>
              <w:t>战略目标，立足传统能源产业基础优势，聚焦清洁能源项目投资运维、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零碳场景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综合服务、生物质能高值化利用三大赛道，努力为投资人带来稳定回报。感谢您的关注。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5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公司一季度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归母净利润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同增长百分之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71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.6</w:t>
            </w:r>
            <w:r>
              <w:rPr>
                <w:rFonts w:ascii="宋体" w:eastAsia="宋体" w:hAnsi="宋体" w:cs="宋体"/>
                <w:b/>
                <w:sz w:val="20"/>
              </w:rPr>
              <w:t>但二季度单季归母净利</w:t>
            </w:r>
            <w:r>
              <w:rPr>
                <w:rFonts w:ascii="宋体" w:eastAsia="宋体" w:hAnsi="宋体" w:cs="宋体"/>
                <w:b/>
                <w:sz w:val="20"/>
              </w:rPr>
              <w:t>8000</w:t>
            </w:r>
            <w:r>
              <w:rPr>
                <w:rFonts w:ascii="宋体" w:eastAsia="宋体" w:hAnsi="宋体" w:cs="宋体"/>
                <w:b/>
                <w:sz w:val="20"/>
              </w:rPr>
              <w:t>万左右，同比是下降的，二季度同比环比回落是电价煤价供热季节性还是公允价值变动所致？上半年净利率百分之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10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.32</w:t>
            </w:r>
            <w:r>
              <w:rPr>
                <w:rFonts w:ascii="宋体" w:eastAsia="宋体" w:hAnsi="宋体" w:cs="宋体"/>
                <w:b/>
                <w:sz w:val="20"/>
              </w:rPr>
              <w:t>，全面盈利趋势如何判断？</w:t>
            </w:r>
          </w:p>
          <w:p w14:paraId="4ADA5736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尊敬的投资者，您好！感谢您对公司的关心与关注。我公司一季度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归母净利润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为</w:t>
            </w:r>
            <w:r>
              <w:rPr>
                <w:rFonts w:ascii="宋体" w:eastAsia="宋体" w:hAnsi="宋体" w:cs="宋体"/>
                <w:sz w:val="20"/>
              </w:rPr>
              <w:t>7,251.81</w:t>
            </w:r>
            <w:r>
              <w:rPr>
                <w:rFonts w:ascii="宋体" w:eastAsia="宋体" w:hAnsi="宋体" w:cs="宋体"/>
                <w:sz w:val="20"/>
              </w:rPr>
              <w:t>万元，二季度当季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归母净利润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为</w:t>
            </w:r>
            <w:r>
              <w:rPr>
                <w:rFonts w:ascii="宋体" w:eastAsia="宋体" w:hAnsi="宋体" w:cs="宋体"/>
                <w:sz w:val="20"/>
              </w:rPr>
              <w:t>8,610.18</w:t>
            </w:r>
            <w:r>
              <w:rPr>
                <w:rFonts w:ascii="宋体" w:eastAsia="宋体" w:hAnsi="宋体" w:cs="宋体"/>
                <w:sz w:val="20"/>
              </w:rPr>
              <w:t>万元，环比增长</w:t>
            </w:r>
            <w:r>
              <w:rPr>
                <w:rFonts w:ascii="宋体" w:eastAsia="宋体" w:hAnsi="宋体" w:cs="宋体"/>
                <w:sz w:val="20"/>
              </w:rPr>
              <w:t>18.73%</w:t>
            </w:r>
            <w:r>
              <w:rPr>
                <w:rFonts w:ascii="宋体" w:eastAsia="宋体" w:hAnsi="宋体" w:cs="宋体"/>
                <w:sz w:val="20"/>
              </w:rPr>
              <w:t>。</w:t>
            </w:r>
          </w:p>
          <w:p w14:paraId="49A25629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上年二季度当季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归母净利润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为</w:t>
            </w:r>
            <w:r>
              <w:rPr>
                <w:rFonts w:ascii="宋体" w:eastAsia="宋体" w:hAnsi="宋体" w:cs="宋体"/>
                <w:sz w:val="20"/>
              </w:rPr>
              <w:t>9,826.72</w:t>
            </w:r>
            <w:r>
              <w:rPr>
                <w:rFonts w:ascii="宋体" w:eastAsia="宋体" w:hAnsi="宋体" w:cs="宋体"/>
                <w:sz w:val="20"/>
              </w:rPr>
              <w:t>万元，同比下降</w:t>
            </w:r>
            <w:r>
              <w:rPr>
                <w:rFonts w:ascii="宋体" w:eastAsia="宋体" w:hAnsi="宋体" w:cs="宋体"/>
                <w:sz w:val="20"/>
              </w:rPr>
              <w:t>12.38%</w:t>
            </w:r>
            <w:r>
              <w:rPr>
                <w:rFonts w:ascii="宋体" w:eastAsia="宋体" w:hAnsi="宋体" w:cs="宋体"/>
                <w:sz w:val="20"/>
              </w:rPr>
              <w:t>。主要系本年二季度与上年二季度公允价值变动差异所致。公司各项经营业务稳定。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lastRenderedPageBreak/>
              <w:t xml:space="preserve">    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6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公司的下一步发展方向是什么？</w:t>
            </w:r>
          </w:p>
          <w:p w14:paraId="613E0E7A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投资者您好，随着国家</w:t>
            </w:r>
            <w:r>
              <w:rPr>
                <w:rFonts w:ascii="宋体" w:eastAsia="宋体" w:hAnsi="宋体" w:cs="宋体"/>
                <w:sz w:val="20"/>
              </w:rPr>
              <w:t>“</w:t>
            </w:r>
            <w:r>
              <w:rPr>
                <w:rFonts w:ascii="宋体" w:eastAsia="宋体" w:hAnsi="宋体" w:cs="宋体"/>
                <w:sz w:val="20"/>
              </w:rPr>
              <w:t>双碳</w:t>
            </w:r>
            <w:r>
              <w:rPr>
                <w:rFonts w:ascii="宋体" w:eastAsia="宋体" w:hAnsi="宋体" w:cs="宋体"/>
                <w:sz w:val="20"/>
              </w:rPr>
              <w:t>”</w:t>
            </w:r>
            <w:r>
              <w:rPr>
                <w:rFonts w:ascii="宋体" w:eastAsia="宋体" w:hAnsi="宋体" w:cs="宋体"/>
                <w:sz w:val="20"/>
              </w:rPr>
              <w:t>战略深入推进，能源绿色低碳转型持续提速，公司将继续锚定可持续高质量发展核心主线，紧扣</w:t>
            </w:r>
            <w:r>
              <w:rPr>
                <w:rFonts w:ascii="宋体" w:eastAsia="宋体" w:hAnsi="宋体" w:cs="宋体"/>
                <w:sz w:val="20"/>
              </w:rPr>
              <w:t>“</w:t>
            </w:r>
            <w:r>
              <w:rPr>
                <w:rFonts w:ascii="宋体" w:eastAsia="宋体" w:hAnsi="宋体" w:cs="宋体"/>
                <w:sz w:val="20"/>
              </w:rPr>
              <w:t>双碳</w:t>
            </w:r>
            <w:r>
              <w:rPr>
                <w:rFonts w:ascii="宋体" w:eastAsia="宋体" w:hAnsi="宋体" w:cs="宋体"/>
                <w:sz w:val="20"/>
              </w:rPr>
              <w:t>”</w:t>
            </w:r>
            <w:r>
              <w:rPr>
                <w:rFonts w:ascii="宋体" w:eastAsia="宋体" w:hAnsi="宋体" w:cs="宋体"/>
                <w:sz w:val="20"/>
              </w:rPr>
              <w:t>战略目</w:t>
            </w:r>
            <w:r>
              <w:rPr>
                <w:rFonts w:ascii="宋体" w:eastAsia="宋体" w:hAnsi="宋体" w:cs="宋体"/>
                <w:sz w:val="20"/>
              </w:rPr>
              <w:t>标，立足传统能源产业基础优势，聚焦清洁能源项目投资运维、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零碳场景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综合服务、生物质能高值化利用三大核心赛道，全力构筑绿色发展新动能新优势，同时以新质生产力发展驱动产业价值提升，推动公司全面向国内一流区域型低碳（零碳）智慧综合能源服务商转型升级。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7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公司在之前的交流中提到过正在探索生物质气化藕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合绿电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制氢绿甲醇方向，请问该研究目前停留在技术论证还是已经有试点项目，公司是否规划布局氢能发电业务？</w:t>
            </w:r>
          </w:p>
          <w:p w14:paraId="5EDB337E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投资者您好。</w:t>
            </w:r>
            <w:r>
              <w:rPr>
                <w:rFonts w:ascii="宋体" w:eastAsia="宋体" w:hAnsi="宋体" w:cs="宋体"/>
                <w:sz w:val="20"/>
              </w:rPr>
              <w:t>该研究目前还停留在技术论证阶段。感谢您的关注。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8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公司上半年业绩利好，主要原因是什么</w:t>
            </w:r>
            <w:r>
              <w:rPr>
                <w:rFonts w:ascii="宋体" w:eastAsia="宋体" w:hAnsi="宋体" w:cs="宋体"/>
                <w:b/>
                <w:sz w:val="20"/>
              </w:rPr>
              <w:t>？公司管理层认为是哪几块业务在发力呢</w:t>
            </w:r>
          </w:p>
          <w:p w14:paraId="5FDEF778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投资者您好，</w:t>
            </w:r>
            <w:r>
              <w:rPr>
                <w:rFonts w:ascii="宋体" w:eastAsia="宋体" w:hAnsi="宋体" w:cs="宋体"/>
                <w:sz w:val="20"/>
              </w:rPr>
              <w:t>2026</w:t>
            </w:r>
            <w:r>
              <w:rPr>
                <w:rFonts w:ascii="宋体" w:eastAsia="宋体" w:hAnsi="宋体" w:cs="宋体"/>
                <w:sz w:val="20"/>
              </w:rPr>
              <w:t>年上半年，宏观经济环境逐步企稳，下游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热用户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不断接入，公司部分热电联产企业产能与经营效益持续释放，利润同比大幅增长。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9</w:t>
            </w:r>
            <w:r>
              <w:rPr>
                <w:rFonts w:ascii="宋体" w:eastAsia="宋体" w:hAnsi="宋体" w:cs="宋体"/>
                <w:b/>
                <w:sz w:val="20"/>
              </w:rPr>
              <w:t>.2026</w:t>
            </w:r>
            <w:r>
              <w:rPr>
                <w:rFonts w:ascii="宋体" w:eastAsia="宋体" w:hAnsi="宋体" w:cs="宋体"/>
                <w:b/>
                <w:sz w:val="20"/>
              </w:rPr>
              <w:t>年半年报营收同比增长</w:t>
            </w:r>
            <w:r>
              <w:rPr>
                <w:rFonts w:ascii="宋体" w:eastAsia="宋体" w:hAnsi="宋体" w:cs="宋体"/>
                <w:b/>
                <w:sz w:val="20"/>
              </w:rPr>
              <w:t>11.27%</w:t>
            </w:r>
            <w:r>
              <w:rPr>
                <w:rFonts w:ascii="宋体" w:eastAsia="宋体" w:hAnsi="宋体" w:cs="宋体"/>
                <w:b/>
                <w:sz w:val="20"/>
              </w:rPr>
              <w:t>，利润总额增长</w:t>
            </w:r>
            <w:r>
              <w:rPr>
                <w:rFonts w:ascii="宋体" w:eastAsia="宋体" w:hAnsi="宋体" w:cs="宋体"/>
                <w:b/>
                <w:sz w:val="20"/>
              </w:rPr>
              <w:t>22.45%</w:t>
            </w:r>
            <w:r>
              <w:rPr>
                <w:rFonts w:ascii="宋体" w:eastAsia="宋体" w:hAnsi="宋体" w:cs="宋体"/>
                <w:b/>
                <w:sz w:val="20"/>
              </w:rPr>
              <w:t>，请问增长主要来自哪些业务板块</w:t>
            </w:r>
            <w:r>
              <w:rPr>
                <w:rFonts w:ascii="宋体" w:eastAsia="宋体" w:hAnsi="宋体" w:cs="宋体"/>
                <w:b/>
                <w:sz w:val="20"/>
              </w:rPr>
              <w:t>?</w:t>
            </w:r>
          </w:p>
          <w:p w14:paraId="139606D5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投资者您好，</w:t>
            </w:r>
            <w:r>
              <w:rPr>
                <w:rFonts w:ascii="宋体" w:eastAsia="宋体" w:hAnsi="宋体" w:cs="宋体"/>
                <w:sz w:val="20"/>
              </w:rPr>
              <w:t>2026</w:t>
            </w:r>
            <w:r>
              <w:rPr>
                <w:rFonts w:ascii="宋体" w:eastAsia="宋体" w:hAnsi="宋体" w:cs="宋体"/>
                <w:sz w:val="20"/>
              </w:rPr>
              <w:t>年上半年，宏观经济环境逐步企稳，下游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热用户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不断接入，公司部分热电联产企业产能与经营效益持续释放，利润同比大幅增长。感谢您的关注！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/>
                <w:b/>
                <w:sz w:val="20"/>
              </w:rPr>
              <w:t>1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0</w:t>
            </w:r>
            <w:r>
              <w:rPr>
                <w:rFonts w:ascii="宋体" w:eastAsia="宋体" w:hAnsi="宋体" w:cs="宋体"/>
                <w:b/>
                <w:sz w:val="20"/>
              </w:rPr>
              <w:t>.2026</w:t>
            </w:r>
            <w:r>
              <w:rPr>
                <w:rFonts w:ascii="宋体" w:eastAsia="宋体" w:hAnsi="宋体" w:cs="宋体"/>
                <w:b/>
                <w:sz w:val="20"/>
              </w:rPr>
              <w:t>年</w:t>
            </w:r>
            <w:r>
              <w:rPr>
                <w:rFonts w:ascii="宋体" w:eastAsia="宋体" w:hAnsi="宋体" w:cs="宋体"/>
                <w:b/>
                <w:sz w:val="20"/>
              </w:rPr>
              <w:t>6</w:t>
            </w:r>
            <w:r>
              <w:rPr>
                <w:rFonts w:ascii="宋体" w:eastAsia="宋体" w:hAnsi="宋体" w:cs="宋体"/>
                <w:b/>
                <w:sz w:val="20"/>
              </w:rPr>
              <w:t>月末公司合并报表范围内有息债务余额为</w:t>
            </w:r>
            <w:r>
              <w:rPr>
                <w:rFonts w:ascii="宋体" w:eastAsia="宋体" w:hAnsi="宋体" w:cs="宋体"/>
                <w:b/>
                <w:sz w:val="20"/>
              </w:rPr>
              <w:t>99.01</w:t>
            </w:r>
            <w:r>
              <w:rPr>
                <w:rFonts w:ascii="宋体" w:eastAsia="宋体" w:hAnsi="宋体" w:cs="宋体"/>
                <w:b/>
                <w:sz w:val="20"/>
              </w:rPr>
              <w:t>亿元，较</w:t>
            </w:r>
            <w:r>
              <w:rPr>
                <w:rFonts w:ascii="宋体" w:eastAsia="宋体" w:hAnsi="宋体" w:cs="宋体"/>
                <w:b/>
                <w:sz w:val="20"/>
              </w:rPr>
              <w:t>2025</w:t>
            </w:r>
            <w:r>
              <w:rPr>
                <w:rFonts w:ascii="宋体" w:eastAsia="宋体" w:hAnsi="宋体" w:cs="宋体"/>
                <w:b/>
                <w:sz w:val="20"/>
              </w:rPr>
              <w:t>年末增长</w:t>
            </w:r>
            <w:r>
              <w:rPr>
                <w:rFonts w:ascii="宋体" w:eastAsia="宋体" w:hAnsi="宋体" w:cs="宋体"/>
                <w:b/>
                <w:sz w:val="20"/>
              </w:rPr>
              <w:t>8.05%</w:t>
            </w:r>
            <w:r>
              <w:rPr>
                <w:rFonts w:ascii="宋体" w:eastAsia="宋体" w:hAnsi="宋体" w:cs="宋体"/>
                <w:b/>
                <w:sz w:val="20"/>
              </w:rPr>
              <w:t>，公司有息债务规模扩张主要原因是？</w:t>
            </w:r>
          </w:p>
          <w:p w14:paraId="57966E07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:2026</w:t>
            </w:r>
            <w:r>
              <w:rPr>
                <w:rFonts w:ascii="宋体" w:eastAsia="宋体" w:hAnsi="宋体" w:cs="宋体"/>
                <w:sz w:val="20"/>
              </w:rPr>
              <w:t>年</w:t>
            </w:r>
            <w:r>
              <w:rPr>
                <w:rFonts w:ascii="宋体" w:eastAsia="宋体" w:hAnsi="宋体" w:cs="宋体"/>
                <w:sz w:val="20"/>
              </w:rPr>
              <w:t>6</w:t>
            </w:r>
            <w:r>
              <w:rPr>
                <w:rFonts w:ascii="宋体" w:eastAsia="宋体" w:hAnsi="宋体" w:cs="宋体"/>
                <w:sz w:val="20"/>
              </w:rPr>
              <w:t>月末公司合并报表范围内有息债务余额为</w:t>
            </w:r>
            <w:r>
              <w:rPr>
                <w:rFonts w:ascii="宋体" w:eastAsia="宋体" w:hAnsi="宋体" w:cs="宋体"/>
                <w:sz w:val="20"/>
              </w:rPr>
              <w:t>99.01</w:t>
            </w:r>
            <w:r>
              <w:rPr>
                <w:rFonts w:ascii="宋体" w:eastAsia="宋体" w:hAnsi="宋体" w:cs="宋体"/>
                <w:sz w:val="20"/>
              </w:rPr>
              <w:t>亿元，增长主要来自于公司下属企业经营规模扩大。目前来看公司融资实力不断增强，直接和间接融资渠道通畅，有息负债规模与实际经营需求匹配，不会造成公司偿债压力。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/>
                <w:b/>
                <w:sz w:val="20"/>
              </w:rPr>
              <w:t>1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1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公司目前在电力市场的参与情况如何？电力市场化交易对公司的影响？</w:t>
            </w:r>
          </w:p>
          <w:p w14:paraId="366D28EF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投资者您好，随着电力市场化改革不断深化，市场化交易电量比例持续提高，目前公司燃煤机</w:t>
            </w:r>
            <w:r>
              <w:rPr>
                <w:rFonts w:ascii="宋体" w:eastAsia="宋体" w:hAnsi="宋体" w:cs="宋体"/>
                <w:sz w:val="20"/>
              </w:rPr>
              <w:t>组按政策要求全部参与电力市场化交易，对公司电力交易能力提出更高要求。未来公司将持续密切关注电力市场交易动态和政策变化，争取更多电量市场化交易收益。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lastRenderedPageBreak/>
              <w:t xml:space="preserve">    </w:t>
            </w:r>
            <w:r>
              <w:rPr>
                <w:rFonts w:ascii="宋体" w:eastAsia="宋体" w:hAnsi="宋体" w:cs="宋体"/>
                <w:b/>
                <w:sz w:val="20"/>
              </w:rPr>
              <w:t>1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2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热电联产作为公司基本盘，下一阶段，公司将怎样布局</w:t>
            </w:r>
            <w:r>
              <w:rPr>
                <w:rFonts w:ascii="宋体" w:eastAsia="宋体" w:hAnsi="宋体" w:cs="宋体" w:hint="eastAsia"/>
                <w:b/>
                <w:sz w:val="20"/>
              </w:rPr>
              <w:t>？</w:t>
            </w:r>
          </w:p>
          <w:p w14:paraId="62E6214B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尊敬的投资者您好。目前公司热电联产业务已覆盖浙江、安徽、湖北、湖南等省份，形成</w:t>
            </w:r>
            <w:r>
              <w:rPr>
                <w:rFonts w:ascii="宋体" w:eastAsia="宋体" w:hAnsi="宋体" w:cs="宋体"/>
                <w:sz w:val="20"/>
              </w:rPr>
              <w:t>“</w:t>
            </w:r>
            <w:r>
              <w:rPr>
                <w:rFonts w:ascii="宋体" w:eastAsia="宋体" w:hAnsi="宋体" w:cs="宋体"/>
                <w:sz w:val="20"/>
              </w:rPr>
              <w:t>一点多核</w:t>
            </w:r>
            <w:r>
              <w:rPr>
                <w:rFonts w:ascii="宋体" w:eastAsia="宋体" w:hAnsi="宋体" w:cs="宋体"/>
                <w:sz w:val="20"/>
              </w:rPr>
              <w:t>”</w:t>
            </w:r>
            <w:r>
              <w:rPr>
                <w:rFonts w:ascii="宋体" w:eastAsia="宋体" w:hAnsi="宋体" w:cs="宋体"/>
                <w:sz w:val="20"/>
              </w:rPr>
              <w:t>产业布局。下一阶段，公司将继续夯实热电联产基本盘，持续优化煤炭集中采购机制压降综合生产成本，并依托现有区位布局优势进一步加码区域市场拓展。感谢您对公司的关注。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/>
                <w:b/>
                <w:sz w:val="20"/>
              </w:rPr>
              <w:t>1</w:t>
            </w:r>
            <w:r>
              <w:rPr>
                <w:rFonts w:ascii="宋体" w:eastAsia="宋体" w:hAnsi="宋体" w:cs="宋体" w:hint="eastAsia"/>
                <w:b/>
                <w:sz w:val="20"/>
                <w:lang w:val="en-US"/>
              </w:rPr>
              <w:t>3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宁波作为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国家算电协同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试点城市，</w:t>
            </w:r>
            <w:r>
              <w:rPr>
                <w:rFonts w:ascii="宋体" w:eastAsia="宋体" w:hAnsi="宋体" w:cs="宋体"/>
                <w:b/>
                <w:sz w:val="20"/>
              </w:rPr>
              <w:t>市场非常关注公司在这方面的布局。请问公司目前有无实质性的业务切入？另外，公司提到的</w:t>
            </w:r>
            <w:r>
              <w:rPr>
                <w:rFonts w:ascii="宋体" w:eastAsia="宋体" w:hAnsi="宋体" w:cs="宋体"/>
                <w:b/>
                <w:sz w:val="20"/>
              </w:rPr>
              <w:t>“</w:t>
            </w:r>
            <w:r>
              <w:rPr>
                <w:rFonts w:ascii="宋体" w:eastAsia="宋体" w:hAnsi="宋体" w:cs="宋体"/>
                <w:b/>
                <w:sz w:val="20"/>
              </w:rPr>
              <w:t>油页岩制油</w:t>
            </w:r>
            <w:r>
              <w:rPr>
                <w:rFonts w:ascii="宋体" w:eastAsia="宋体" w:hAnsi="宋体" w:cs="宋体"/>
                <w:b/>
                <w:sz w:val="20"/>
              </w:rPr>
              <w:t>”</w:t>
            </w:r>
            <w:r>
              <w:rPr>
                <w:rFonts w:ascii="宋体" w:eastAsia="宋体" w:hAnsi="宋体" w:cs="宋体"/>
                <w:b/>
                <w:sz w:val="20"/>
              </w:rPr>
              <w:t>研究目前进展到哪一步了？</w:t>
            </w:r>
          </w:p>
          <w:p w14:paraId="227BA890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投资者你好，公司始终密切跟踪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国家算电协同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战略导向以及浙江省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绿电直连配套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政策进展，长远来看，若未来行业政策成熟、市场时机合适，公司将立足自身电力主业，以基础设施与能源服务商定位谋划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布局算电协同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新赛道。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算电协同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项目落地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对绿电供应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要求较高，生物质作为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绿电品类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之一，是公司重点研究方向。今年以来，公司组建专项研究小组，积极探索生物质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电厂算电协同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应用，选取明州生物质项目持续深化研究，努力打造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生物</w:t>
            </w:r>
            <w:r>
              <w:rPr>
                <w:rFonts w:ascii="宋体" w:eastAsia="宋体" w:hAnsi="宋体" w:cs="宋体"/>
                <w:sz w:val="20"/>
              </w:rPr>
              <w:t>质算电协同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应用落地示范点。</w:t>
            </w:r>
          </w:p>
          <w:p w14:paraId="475B8717" w14:textId="77777777" w:rsidR="00E73CCE" w:rsidRDefault="00394113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sz w:val="20"/>
              </w:rPr>
            </w:pPr>
            <w:r>
              <w:rPr>
                <w:rFonts w:ascii="宋体" w:eastAsia="宋体" w:hAnsi="宋体" w:cs="宋体"/>
                <w:sz w:val="20"/>
              </w:rPr>
              <w:t>“</w:t>
            </w:r>
            <w:r>
              <w:rPr>
                <w:rFonts w:ascii="宋体" w:eastAsia="宋体" w:hAnsi="宋体" w:cs="宋体"/>
                <w:sz w:val="20"/>
              </w:rPr>
              <w:t>油页岩制油</w:t>
            </w:r>
            <w:r>
              <w:rPr>
                <w:rFonts w:ascii="宋体" w:eastAsia="宋体" w:hAnsi="宋体" w:cs="宋体"/>
                <w:sz w:val="20"/>
              </w:rPr>
              <w:t>”</w:t>
            </w:r>
            <w:r>
              <w:rPr>
                <w:rFonts w:ascii="宋体" w:eastAsia="宋体" w:hAnsi="宋体" w:cs="宋体"/>
                <w:sz w:val="20"/>
              </w:rPr>
              <w:t>项目方面，公司参股投资了宁波甬能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骥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源科技有限公司，在甬能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骥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源油页岩流化干馏技术原有</w:t>
            </w:r>
            <w:r>
              <w:rPr>
                <w:rFonts w:ascii="宋体" w:eastAsia="宋体" w:hAnsi="宋体" w:cs="宋体"/>
                <w:sz w:val="20"/>
              </w:rPr>
              <w:t>“</w:t>
            </w:r>
            <w:r>
              <w:rPr>
                <w:rFonts w:ascii="宋体" w:eastAsia="宋体" w:hAnsi="宋体" w:cs="宋体"/>
                <w:sz w:val="20"/>
              </w:rPr>
              <w:t>六高</w:t>
            </w:r>
            <w:r>
              <w:rPr>
                <w:rFonts w:ascii="宋体" w:eastAsia="宋体" w:hAnsi="宋体" w:cs="宋体"/>
                <w:sz w:val="20"/>
              </w:rPr>
              <w:t>”</w:t>
            </w:r>
            <w:r>
              <w:rPr>
                <w:rFonts w:ascii="宋体" w:eastAsia="宋体" w:hAnsi="宋体" w:cs="宋体"/>
                <w:sz w:val="20"/>
              </w:rPr>
              <w:t>（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高资源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利用率、高能效、高油收率、高环保性、高品质油品、高处理量）核心技术优势的基础上，目前公司已完成了技术体系的进一步迭代与工艺包的精细化升级，对原料制备、固液分离、脱硫脱硝等核心环节开展新技术攻关应用与工程化设计，实现设备投资压降与装置运行效率提升，进一步夯实了技术的行业领先性与工程适用性。</w:t>
            </w:r>
          </w:p>
          <w:p w14:paraId="4EFBCECF" w14:textId="7E1DCEA4" w:rsidR="00E73CCE" w:rsidRDefault="00394113" w:rsidP="00A8326E">
            <w:pPr>
              <w:pStyle w:val="TableParagraph"/>
              <w:spacing w:line="360" w:lineRule="auto"/>
              <w:jc w:val="both"/>
              <w:rPr>
                <w:rFonts w:ascii="宋体" w:eastAsia="宋体" w:hAnsi="宋体" w:cs="宋体"/>
                <w:b/>
                <w:sz w:val="20"/>
              </w:rPr>
            </w:pPr>
            <w:r>
              <w:rPr>
                <w:rFonts w:ascii="宋体" w:eastAsia="宋体" w:hAnsi="宋体" w:cs="宋体" w:hint="eastAsia"/>
                <w:sz w:val="20"/>
                <w:lang w:val="en-US"/>
              </w:rPr>
              <w:t xml:space="preserve">    </w:t>
            </w:r>
            <w:r>
              <w:rPr>
                <w:rFonts w:ascii="宋体" w:eastAsia="宋体" w:hAnsi="宋体" w:cs="宋体"/>
                <w:b/>
                <w:sz w:val="20"/>
              </w:rPr>
              <w:t>1</w:t>
            </w:r>
            <w:r w:rsidR="00A8326E">
              <w:rPr>
                <w:rFonts w:ascii="宋体" w:eastAsia="宋体" w:hAnsi="宋体" w:cs="宋体" w:hint="eastAsia"/>
                <w:b/>
                <w:sz w:val="20"/>
              </w:rPr>
              <w:t>4</w:t>
            </w:r>
            <w:r>
              <w:rPr>
                <w:rFonts w:ascii="宋体" w:eastAsia="宋体" w:hAnsi="宋体" w:cs="宋体"/>
                <w:b/>
                <w:sz w:val="20"/>
              </w:rPr>
              <w:t>.</w:t>
            </w:r>
            <w:r>
              <w:rPr>
                <w:rFonts w:ascii="宋体" w:eastAsia="宋体" w:hAnsi="宋体" w:cs="宋体"/>
                <w:b/>
                <w:sz w:val="20"/>
              </w:rPr>
              <w:t>半年报中在建工程</w:t>
            </w:r>
            <w:r>
              <w:rPr>
                <w:rFonts w:ascii="宋体" w:eastAsia="宋体" w:hAnsi="宋体" w:cs="宋体"/>
                <w:b/>
                <w:sz w:val="20"/>
              </w:rPr>
              <w:t>2.67</w:t>
            </w:r>
            <w:r>
              <w:rPr>
                <w:rFonts w:ascii="宋体" w:eastAsia="宋体" w:hAnsi="宋体" w:cs="宋体"/>
                <w:b/>
                <w:sz w:val="20"/>
              </w:rPr>
              <w:t>亿元下降为</w:t>
            </w:r>
            <w:r>
              <w:rPr>
                <w:rFonts w:ascii="宋体" w:eastAsia="宋体" w:hAnsi="宋体" w:cs="宋体"/>
                <w:b/>
                <w:sz w:val="20"/>
              </w:rPr>
              <w:t>1.46</w:t>
            </w:r>
            <w:r>
              <w:rPr>
                <w:rFonts w:ascii="宋体" w:eastAsia="宋体" w:hAnsi="宋体" w:cs="宋体"/>
                <w:b/>
                <w:sz w:val="20"/>
              </w:rPr>
              <w:t>亿元，贵公司披露的是在建</w:t>
            </w:r>
            <w:proofErr w:type="gramStart"/>
            <w:r>
              <w:rPr>
                <w:rFonts w:ascii="宋体" w:eastAsia="宋体" w:hAnsi="宋体" w:cs="宋体"/>
                <w:b/>
                <w:sz w:val="20"/>
              </w:rPr>
              <w:t>工程转固</w:t>
            </w:r>
            <w:r>
              <w:rPr>
                <w:rFonts w:ascii="宋体" w:eastAsia="宋体" w:hAnsi="宋体" w:cs="宋体"/>
                <w:b/>
                <w:sz w:val="20"/>
              </w:rPr>
              <w:t>导致</w:t>
            </w:r>
            <w:proofErr w:type="gramEnd"/>
            <w:r>
              <w:rPr>
                <w:rFonts w:ascii="宋体" w:eastAsia="宋体" w:hAnsi="宋体" w:cs="宋体"/>
                <w:b/>
                <w:sz w:val="20"/>
              </w:rPr>
              <w:t>，请问固定资产转固，对公司下半年的经营会有哪些影响？</w:t>
            </w:r>
          </w:p>
          <w:p w14:paraId="7AD8C0E7" w14:textId="6F5074C6" w:rsidR="00E73CCE" w:rsidRDefault="00394113" w:rsidP="00A8326E">
            <w:pPr>
              <w:pStyle w:val="TableParagraph"/>
              <w:spacing w:line="360" w:lineRule="auto"/>
              <w:ind w:firstLineChars="200" w:firstLine="400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</w:rPr>
              <w:t>答</w:t>
            </w:r>
            <w:r>
              <w:rPr>
                <w:rFonts w:ascii="宋体" w:eastAsia="宋体" w:hAnsi="宋体" w:cs="宋体"/>
                <w:sz w:val="20"/>
              </w:rPr>
              <w:t>:</w:t>
            </w:r>
            <w:r>
              <w:rPr>
                <w:rFonts w:ascii="宋体" w:eastAsia="宋体" w:hAnsi="宋体" w:cs="宋体"/>
                <w:sz w:val="20"/>
              </w:rPr>
              <w:t>投资者您好，</w:t>
            </w:r>
            <w:r>
              <w:rPr>
                <w:rFonts w:ascii="宋体" w:eastAsia="宋体" w:hAnsi="宋体" w:cs="宋体"/>
                <w:sz w:val="20"/>
              </w:rPr>
              <w:t>2026</w:t>
            </w:r>
            <w:r>
              <w:rPr>
                <w:rFonts w:ascii="宋体" w:eastAsia="宋体" w:hAnsi="宋体" w:cs="宋体"/>
                <w:sz w:val="20"/>
              </w:rPr>
              <w:t>年上半年公司在建工程减少主要系相关项目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建成转固所致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。在建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工程转固后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，公司固定资产规模相应增加，资产结构进一步优化，相关项目将陆续投入运营并逐步贡献效益。对于</w:t>
            </w:r>
            <w:proofErr w:type="gramStart"/>
            <w:r>
              <w:rPr>
                <w:rFonts w:ascii="宋体" w:eastAsia="宋体" w:hAnsi="宋体" w:cs="宋体"/>
                <w:sz w:val="20"/>
              </w:rPr>
              <w:t>转固带来</w:t>
            </w:r>
            <w:proofErr w:type="gramEnd"/>
            <w:r>
              <w:rPr>
                <w:rFonts w:ascii="宋体" w:eastAsia="宋体" w:hAnsi="宋体" w:cs="宋体"/>
                <w:sz w:val="20"/>
              </w:rPr>
              <w:t>的固定资产折旧增加，公司已统筹考虑其对成本费用的影响，总体影响可控。公司将继续加强项目建设和运营管理，推动新增产能有序释放，助力全年经营目标实现。</w:t>
            </w:r>
          </w:p>
        </w:tc>
      </w:tr>
      <w:tr w:rsidR="00E73CCE" w14:paraId="731DB2CA" w14:textId="77777777">
        <w:trPr>
          <w:trHeight w:val="999"/>
          <w:jc w:val="center"/>
        </w:trPr>
        <w:tc>
          <w:tcPr>
            <w:tcW w:w="2580" w:type="dxa"/>
            <w:vAlign w:val="center"/>
          </w:tcPr>
          <w:p w14:paraId="6F6EDF08" w14:textId="0DABEC51" w:rsidR="00E73CCE" w:rsidRPr="00A8326E" w:rsidRDefault="00A8326E" w:rsidP="00A8326E">
            <w:pPr>
              <w:pStyle w:val="TableParagraph"/>
              <w:spacing w:before="1"/>
              <w:ind w:left="107"/>
              <w:rPr>
                <w:rFonts w:asciiTheme="minorEastAsia" w:eastAsiaTheme="minorEastAsia" w:hAnsiTheme="minorEastAsia" w:cs="宋体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lastRenderedPageBreak/>
              <w:t>备注及</w:t>
            </w:r>
            <w:r w:rsidR="00394113"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关于本次活动是否涉及应</w:t>
            </w:r>
            <w:r w:rsidR="00394113"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1795A21D" w14:textId="2F0D8295" w:rsidR="00A8326E" w:rsidRDefault="00A8326E" w:rsidP="00A8326E">
            <w:pPr>
              <w:pStyle w:val="TableParagraph"/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本表未尽问题</w:t>
            </w:r>
            <w:r w:rsidRPr="00A8326E">
              <w:rPr>
                <w:rFonts w:asciiTheme="minorEastAsia" w:eastAsiaTheme="minorEastAsia" w:hAnsiTheme="minorEastAsia" w:cs="宋体"/>
                <w:sz w:val="20"/>
                <w:szCs w:val="20"/>
              </w:rPr>
              <w:t>投资者可以通过价值在线（www.ir-online.cn）</w:t>
            </w:r>
            <w:r>
              <w:rPr>
                <w:rFonts w:asciiTheme="minorEastAsia" w:eastAsiaTheme="minorEastAsia" w:hAnsiTheme="minorEastAsia" w:cs="宋体"/>
                <w:sz w:val="20"/>
                <w:szCs w:val="20"/>
              </w:rPr>
              <w:t>查看</w:t>
            </w: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；</w:t>
            </w:r>
          </w:p>
          <w:p w14:paraId="1E3D25D9" w14:textId="77777777" w:rsidR="00E73CCE" w:rsidRDefault="00394113" w:rsidP="00A8326E">
            <w:pPr>
              <w:pStyle w:val="TableParagrap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本次活动不涉及未公开披露的重大信息。</w:t>
            </w:r>
          </w:p>
        </w:tc>
      </w:tr>
      <w:tr w:rsidR="00E73CCE" w14:paraId="6639EE34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58B06216" w14:textId="77777777" w:rsidR="00E73CCE" w:rsidRDefault="00394113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0A91275A" w14:textId="5F53E96B" w:rsidR="00E73CCE" w:rsidRDefault="00394113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/</w:t>
            </w:r>
            <w:bookmarkStart w:id="0" w:name="_GoBack"/>
            <w:bookmarkEnd w:id="0"/>
          </w:p>
        </w:tc>
      </w:tr>
      <w:tr w:rsidR="00E73CCE" w14:paraId="470897ED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667F36E2" w14:textId="77777777" w:rsidR="00E73CCE" w:rsidRDefault="00394113">
            <w:pPr>
              <w:pStyle w:val="TableParagraph"/>
              <w:spacing w:before="1"/>
              <w:ind w:left="107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3C87C3FB" w14:textId="77777777" w:rsidR="00E73CCE" w:rsidRDefault="00394113">
            <w:pPr>
              <w:pStyle w:val="TableParagraph"/>
              <w:spacing w:before="100" w:beforeAutospacing="1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2026</w:t>
            </w:r>
            <w:r>
              <w:rPr>
                <w:rFonts w:ascii="宋体" w:eastAsia="宋体" w:hAnsi="宋体" w:cs="宋体"/>
                <w:sz w:val="20"/>
                <w:szCs w:val="20"/>
              </w:rPr>
              <w:t>年</w:t>
            </w:r>
            <w:r>
              <w:rPr>
                <w:rFonts w:ascii="宋体" w:eastAsia="宋体" w:hAnsi="宋体" w:cs="宋体"/>
                <w:sz w:val="20"/>
                <w:szCs w:val="20"/>
              </w:rPr>
              <w:t>09</w:t>
            </w:r>
            <w:r>
              <w:rPr>
                <w:rFonts w:ascii="宋体" w:eastAsia="宋体" w:hAnsi="宋体" w:cs="宋体"/>
                <w:sz w:val="20"/>
                <w:szCs w:val="20"/>
              </w:rPr>
              <w:t>月</w:t>
            </w:r>
            <w:r>
              <w:rPr>
                <w:rFonts w:ascii="宋体" w:eastAsia="宋体" w:hAnsi="宋体" w:cs="宋体"/>
                <w:sz w:val="20"/>
                <w:szCs w:val="20"/>
              </w:rPr>
              <w:t>17</w:t>
            </w:r>
            <w:r>
              <w:rPr>
                <w:rFonts w:ascii="宋体" w:eastAsia="宋体" w:hAnsi="宋体" w:cs="宋体"/>
                <w:sz w:val="20"/>
                <w:szCs w:val="20"/>
              </w:rPr>
              <w:t>日</w:t>
            </w:r>
          </w:p>
        </w:tc>
      </w:tr>
    </w:tbl>
    <w:p w14:paraId="752999A8" w14:textId="77777777" w:rsidR="00E73CCE" w:rsidRDefault="00E73CCE">
      <w:pPr>
        <w:rPr>
          <w:rFonts w:ascii="宋体" w:eastAsia="宋体" w:hAnsi="宋体" w:cs="宋体"/>
          <w:sz w:val="28"/>
          <w:szCs w:val="36"/>
        </w:rPr>
      </w:pPr>
    </w:p>
    <w:sectPr w:rsidR="00E73CCE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4113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8326E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3CCE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7D15BC1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2D43FF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5D45A8C"/>
    <w:rsid w:val="469F09AF"/>
    <w:rsid w:val="499E6DEB"/>
    <w:rsid w:val="49BC3715"/>
    <w:rsid w:val="4A4171F3"/>
    <w:rsid w:val="4ACB711A"/>
    <w:rsid w:val="4B756271"/>
    <w:rsid w:val="4C8E1CA8"/>
    <w:rsid w:val="4D6D36A4"/>
    <w:rsid w:val="501419C9"/>
    <w:rsid w:val="510903EF"/>
    <w:rsid w:val="53F137F4"/>
    <w:rsid w:val="543A6906"/>
    <w:rsid w:val="56850CBB"/>
    <w:rsid w:val="59D8738A"/>
    <w:rsid w:val="5A666D76"/>
    <w:rsid w:val="5B2253C2"/>
    <w:rsid w:val="5B903A30"/>
    <w:rsid w:val="5CF02E0F"/>
    <w:rsid w:val="603269D2"/>
    <w:rsid w:val="61A52BCA"/>
    <w:rsid w:val="658E0A82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3BA0AF4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7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页脚 Char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Char0">
    <w:name w:val="批注框文本 Char"/>
    <w:basedOn w:val="a0"/>
    <w:link w:val="a5"/>
    <w:qFormat/>
    <w:rPr>
      <w:rFonts w:ascii="仿宋" w:eastAsia="仿宋" w:hAnsi="仿宋" w:cs="仿宋"/>
      <w:sz w:val="18"/>
      <w:szCs w:val="1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7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页脚 Char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Char0">
    <w:name w:val="批注框文本 Char"/>
    <w:basedOn w:val="a0"/>
    <w:link w:val="a5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3F95B-B164-4975-A762-23BCE4CD8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3118</Words>
  <Characters>420</Characters>
  <Application>Microsoft Office Word</Application>
  <DocSecurity>0</DocSecurity>
  <Lines>3</Lines>
  <Paragraphs>7</Paragraphs>
  <ScaleCrop>false</ScaleCrop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MY</cp:lastModifiedBy>
  <cp:revision>9</cp:revision>
  <dcterms:created xsi:type="dcterms:W3CDTF">2022-04-12T06:10:00Z</dcterms:created>
  <dcterms:modified xsi:type="dcterms:W3CDTF">2026-09-18T09:17:00Z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eyJoZGlkIjoiMmVlYzllMTA3Nzg4YjhhNTkwNDg0YThjYjZkMTYyNmYiLCJ1c2VySWQiOiIzNzEyNDk0MTcifQ==</vt:lpwstr>
  </property>
</Properties>
</file>