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78504" w14:textId="34726367" w:rsidR="00352085" w:rsidRDefault="00000000">
      <w:pPr>
        <w:spacing w:beforeLines="50" w:before="156" w:afterLines="50" w:after="156" w:line="400" w:lineRule="exact"/>
        <w:rPr>
          <w:rFonts w:ascii="宋体" w:hAnsi="宋体" w:cs="宋体" w:hint="eastAsia"/>
          <w:bCs/>
          <w:iCs/>
          <w:color w:val="000000"/>
          <w:sz w:val="24"/>
        </w:rPr>
      </w:pPr>
      <w:r>
        <w:rPr>
          <w:rFonts w:ascii="宋体" w:hAnsi="宋体" w:cs="宋体" w:hint="eastAsia"/>
          <w:bCs/>
          <w:iCs/>
          <w:color w:val="000000"/>
          <w:sz w:val="24"/>
        </w:rPr>
        <w:t>证券代码：603766</w:t>
      </w:r>
      <w:r w:rsidR="00482AA5">
        <w:rPr>
          <w:rFonts w:ascii="宋体" w:hAnsi="宋体" w:cs="宋体" w:hint="eastAsia"/>
          <w:bCs/>
          <w:iCs/>
          <w:color w:val="000000"/>
          <w:sz w:val="24"/>
        </w:rPr>
        <w:t xml:space="preserve">                                 </w:t>
      </w:r>
      <w:r>
        <w:rPr>
          <w:rFonts w:ascii="宋体" w:hAnsi="宋体" w:cs="宋体" w:hint="eastAsia"/>
          <w:bCs/>
          <w:iCs/>
          <w:color w:val="000000"/>
          <w:sz w:val="24"/>
        </w:rPr>
        <w:t>证券简称：隆鑫通用</w:t>
      </w:r>
    </w:p>
    <w:p w14:paraId="4376C69D" w14:textId="77777777" w:rsidR="00352085" w:rsidRDefault="00000000">
      <w:pPr>
        <w:spacing w:beforeLines="50" w:before="156" w:afterLines="50" w:after="156" w:line="400" w:lineRule="exact"/>
        <w:jc w:val="center"/>
        <w:rPr>
          <w:rFonts w:ascii="宋体" w:hAnsi="宋体" w:cs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cs="宋体" w:hint="eastAsia"/>
          <w:b/>
          <w:bCs/>
          <w:iCs/>
          <w:color w:val="000000"/>
          <w:sz w:val="32"/>
          <w:szCs w:val="32"/>
        </w:rPr>
        <w:t>隆鑫通用动力股份有限公司</w:t>
      </w:r>
    </w:p>
    <w:p w14:paraId="3EAE5EE9" w14:textId="77777777" w:rsidR="00352085" w:rsidRDefault="00000000">
      <w:pPr>
        <w:spacing w:beforeLines="50" w:before="156" w:afterLines="50" w:after="156" w:line="400" w:lineRule="exact"/>
        <w:jc w:val="center"/>
        <w:rPr>
          <w:rFonts w:ascii="宋体" w:hAnsi="宋体" w:cs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cs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427BDD5F" w14:textId="77777777" w:rsidR="00352085" w:rsidRDefault="00352085">
      <w:pPr>
        <w:spacing w:beforeLines="50" w:before="156" w:afterLines="50" w:after="156" w:line="400" w:lineRule="exact"/>
        <w:jc w:val="center"/>
        <w:rPr>
          <w:rFonts w:ascii="宋体" w:hAnsi="宋体" w:cs="宋体" w:hint="eastAsia"/>
          <w:bCs/>
          <w:iCs/>
          <w:color w:val="000000"/>
          <w:sz w:val="24"/>
        </w:rPr>
      </w:pPr>
    </w:p>
    <w:tbl>
      <w:tblPr>
        <w:tblStyle w:val="a7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1908"/>
        <w:gridCol w:w="6614"/>
      </w:tblGrid>
      <w:tr w:rsidR="00352085" w14:paraId="2608B4D0" w14:textId="77777777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5F5A" w14:textId="77777777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投资者关系活动类别</w:t>
            </w:r>
          </w:p>
          <w:p w14:paraId="019ED15F" w14:textId="77777777" w:rsidR="00352085" w:rsidRDefault="00352085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DC8A" w14:textId="185A72C6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√</w:t>
            </w:r>
            <w:r>
              <w:rPr>
                <w:rFonts w:ascii="宋体" w:hAnsi="宋体" w:cs="宋体" w:hint="eastAsia"/>
                <w:sz w:val="24"/>
              </w:rPr>
              <w:t>特定对象调研</w:t>
            </w:r>
            <w:r w:rsidR="00823499" w:rsidRPr="00823499">
              <w:rPr>
                <w:rFonts w:ascii="宋体" w:hAnsi="宋体" w:cs="宋体"/>
                <w:sz w:val="24"/>
              </w:rPr>
              <w:t xml:space="preserve">       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分析师会议</w:t>
            </w:r>
          </w:p>
          <w:p w14:paraId="6863685B" w14:textId="159B6CD2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媒体采访</w:t>
            </w:r>
            <w:r w:rsidR="00823499" w:rsidRPr="00823499">
              <w:rPr>
                <w:rFonts w:ascii="宋体" w:hAnsi="宋体" w:cs="宋体"/>
                <w:sz w:val="24"/>
              </w:rPr>
              <w:t xml:space="preserve">           </w:t>
            </w:r>
            <w:r w:rsidR="00823499"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业绩说明会</w:t>
            </w:r>
          </w:p>
          <w:p w14:paraId="48A768A3" w14:textId="5147A84A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新闻发布会</w:t>
            </w:r>
            <w:r w:rsidR="00823499" w:rsidRPr="00823499">
              <w:rPr>
                <w:rFonts w:ascii="宋体" w:hAnsi="宋体" w:cs="宋体"/>
                <w:sz w:val="24"/>
              </w:rPr>
              <w:t xml:space="preserve">      </w:t>
            </w:r>
            <w:r w:rsidR="00823499">
              <w:rPr>
                <w:rFonts w:ascii="宋体" w:hAnsi="宋体" w:cs="宋体" w:hint="eastAsia"/>
                <w:sz w:val="24"/>
              </w:rPr>
              <w:t xml:space="preserve">  </w:t>
            </w:r>
            <w:r w:rsidR="00823499" w:rsidRPr="00823499"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路演活动</w:t>
            </w:r>
          </w:p>
          <w:p w14:paraId="3DD4C14E" w14:textId="5230DE70" w:rsidR="00352085" w:rsidRDefault="00000000">
            <w:pPr>
              <w:tabs>
                <w:tab w:val="center" w:pos="3199"/>
              </w:tabs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现场参观</w:t>
            </w:r>
            <w:r w:rsidR="00823499" w:rsidRPr="00823499">
              <w:rPr>
                <w:rFonts w:ascii="宋体" w:hAnsi="宋体" w:cs="宋体"/>
                <w:bCs/>
                <w:iCs/>
                <w:color w:val="000000"/>
                <w:sz w:val="24"/>
              </w:rPr>
              <w:t xml:space="preserve">      </w:t>
            </w:r>
            <w:r w:rsidR="00823499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 xml:space="preserve">    </w:t>
            </w:r>
            <w:r w:rsidR="00823499" w:rsidRPr="00823499">
              <w:rPr>
                <w:rFonts w:ascii="宋体" w:hAnsi="宋体" w:cs="宋体"/>
                <w:bCs/>
                <w:iCs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cs="宋体" w:hint="eastAsia"/>
                <w:sz w:val="24"/>
              </w:rPr>
              <w:t>其他</w:t>
            </w:r>
          </w:p>
        </w:tc>
      </w:tr>
      <w:tr w:rsidR="00352085" w14:paraId="154BAC63" w14:textId="77777777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637C" w14:textId="77777777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504F" w14:textId="77777777" w:rsidR="00352085" w:rsidRDefault="00000000">
            <w:pPr>
              <w:spacing w:line="480" w:lineRule="atLeast"/>
              <w:rPr>
                <w:rFonts w:ascii="宋体" w:hAnsi="宋体" w:hint="eastAsia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兴业证券、国泰基金、润晖投资、国泰海通、华安证券、金鹰基金、宁泉资本、浙商证券、华泰证券、邮储银行、兴银基金、申万宏源证券、中信证券、中泰证券、华富基金、睿远基金、西南证券、华夏久盈、东吴证券、汇丰晋信基金、丹羿投资、广发证券、西部证券、国海证券、华创证券、景顺长城、天风证券、长江证券、国联民生、国投证券、易方达、永赢基金、大家资产、平安证券、国寿安保、申万菱信、敦和资产、华泰资产、鑫元基金、工银瑞信（以上排名不分先后）</w:t>
            </w:r>
          </w:p>
        </w:tc>
      </w:tr>
      <w:tr w:rsidR="00352085" w14:paraId="21A187C1" w14:textId="77777777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0299" w14:textId="77777777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56A2" w14:textId="77777777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2026年9月18日</w:t>
            </w:r>
          </w:p>
        </w:tc>
      </w:tr>
      <w:tr w:rsidR="00352085" w14:paraId="65D37610" w14:textId="77777777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B72D" w14:textId="77777777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1ECE" w14:textId="39D0DB7D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公司</w:t>
            </w:r>
            <w:r w:rsidR="00334B3F" w:rsidRPr="00334B3F">
              <w:rPr>
                <w:rFonts w:ascii="宋体" w:hAnsi="宋体" w:cs="宋体"/>
                <w:bCs/>
                <w:iCs/>
                <w:color w:val="000000"/>
                <w:sz w:val="24"/>
              </w:rPr>
              <w:t>A区管理平台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大楼会议室</w:t>
            </w:r>
          </w:p>
        </w:tc>
      </w:tr>
      <w:tr w:rsidR="00352085" w14:paraId="7727A9C3" w14:textId="77777777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AAF7" w14:textId="0869A5CA" w:rsidR="00352085" w:rsidRDefault="00000000" w:rsidP="00334B3F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7ABA" w14:textId="77777777" w:rsidR="00334B3F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 w:themeColor="text1"/>
                <w:sz w:val="24"/>
              </w:rPr>
              <w:t>董事长李耀</w:t>
            </w:r>
          </w:p>
          <w:p w14:paraId="428B5AD0" w14:textId="0D4C8665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 w:themeColor="text1"/>
                <w:sz w:val="24"/>
              </w:rPr>
              <w:t>董事会秘书叶珂伽</w:t>
            </w:r>
          </w:p>
        </w:tc>
      </w:tr>
      <w:tr w:rsidR="00352085" w14:paraId="2830DF3F" w14:textId="77777777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93A1" w14:textId="77777777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29344FA5" w14:textId="77777777" w:rsidR="00352085" w:rsidRDefault="00352085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43B5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 w:themeColor="text1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1、</w:t>
            </w:r>
            <w:r>
              <w:rPr>
                <w:rFonts w:ascii="宋体" w:hAnsi="宋体" w:cs="宋体" w:hint="eastAsia"/>
                <w:bCs/>
                <w:iCs/>
                <w:color w:val="000000" w:themeColor="text1"/>
                <w:sz w:val="24"/>
              </w:rPr>
              <w:t>接待人员介绍行业及公司基本情况。</w:t>
            </w:r>
          </w:p>
          <w:p w14:paraId="74925DA1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2、互动交流</w:t>
            </w:r>
            <w:r>
              <w:rPr>
                <w:rFonts w:ascii="宋体" w:hAnsi="宋体" w:cs="宋体"/>
                <w:bCs/>
                <w:iCs/>
                <w:color w:val="000000" w:themeColor="text1"/>
                <w:sz w:val="24"/>
              </w:rPr>
              <w:t>：</w:t>
            </w:r>
          </w:p>
          <w:p w14:paraId="2E1ED264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iCs/>
                <w:color w:val="000000"/>
                <w:sz w:val="24"/>
              </w:rPr>
              <w:t>问题1：公司对无极品牌国内外玩乐型摩托车业务是如何定位的？有什么具体发展策略？</w:t>
            </w:r>
          </w:p>
          <w:p w14:paraId="6F7A0531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答：国内市场方面，国内玩乐型摩托车市场整体增速放缓，行业竞争加剧。国内市场作为公司业务基本盘，公司将持续巩固行业第一梯队的市场地位。国内市场的品牌建设与运营，也能够向外传递中国品牌产品实力，助力公司海外业务拓展。</w:t>
            </w:r>
          </w:p>
          <w:p w14:paraId="372611DA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lastRenderedPageBreak/>
              <w:t>海外玩乐型摩托车市场规模体量远超国内，当前中国摩托的品牌力、产品力实现飞跃式发展，中国摩托车出海迎来全新的发展阶段。公司执行“欧洲立品牌，拉美上规模，东南亚寻突破”的全球化发展策略，通过多元化市场布局降低对单一市场的依赖。</w:t>
            </w:r>
          </w:p>
          <w:p w14:paraId="4A87A525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iCs/>
                <w:color w:val="000000"/>
                <w:sz w:val="24"/>
              </w:rPr>
              <w:t>问题2：公司拓展欧洲市场的核心策略是什么？</w:t>
            </w:r>
          </w:p>
          <w:p w14:paraId="50D76B2F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答：欧洲不同国家摩托车消费偏好有所差异。公司重点深耕意大利、西班牙两大核心市场，两地合计占欧洲核心五国市场规模约60%，市场需求与公司踏板、休旅类优势产品高度契合。渠道层面优先选择当地经营积淀深厚、综合实力较强的本土代理商，依托合作代理商完成产品本地化适配优化；同时通过线上线下一体化营销推广，持续提升无极品牌在欧洲市场的知名度与认可度。</w:t>
            </w:r>
          </w:p>
          <w:p w14:paraId="7337D5BE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iCs/>
                <w:color w:val="000000"/>
                <w:sz w:val="24"/>
              </w:rPr>
              <w:t>问题3：拉美市场目前拓展进展如何，未来有怎样的布局思路？</w:t>
            </w:r>
          </w:p>
          <w:p w14:paraId="400FDAE7" w14:textId="2E47829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答：根据MCD数据，中南美整体摩托车市场体量在850</w:t>
            </w:r>
            <w:r w:rsidR="00334B3F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万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-900</w:t>
            </w:r>
            <w:r w:rsidR="00334B3F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万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台左右，近年来呈现出摩托车消费升级趋势，核心四国（巴西、墨西哥、哥伦比亚、阿根廷）市场规模集中度显著高于欧洲五国，且当地消费者对中国品牌接受度较高。产品方面，结合当地消费能力以及税费政策特征，公司在拉美的产品排量布局不仅局限于大排量区间，中排量中高配置为核心，合理覆盖多段排量，充分挖掘区域市场潜力。市场区域方面，公司重点聚焦中南美四国等核心大市场开展业务布局，目前已在阿根廷、哥伦比亚等市场实现突破。后续公司将持续巩固已开拓市场的业务基本盘，稳步推进巴西、墨西哥市场的渗透，把握拉美市场的发展机遇。</w:t>
            </w:r>
          </w:p>
          <w:p w14:paraId="3B4D9394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iCs/>
                <w:color w:val="000000"/>
                <w:sz w:val="24"/>
              </w:rPr>
              <w:t>问题4：公司持续打造爆款产品的核心能力是什么？</w:t>
            </w:r>
          </w:p>
          <w:p w14:paraId="2A236F6E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答：爆款产品的打造，是市场研判、产品硬实力与体系化运营综合作用的结果。经过二十余年与宝马的合作实践，公司积累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lastRenderedPageBreak/>
              <w:t>了成熟的整车制造经验以及完善的质量管控体系，为产品品质提供坚实保障。发动机研发与制造是摩托车产品力的核心，公司具备行业领先的发动机平台研发制造能力，有效保障整车核心性能输出。</w:t>
            </w:r>
          </w:p>
          <w:p w14:paraId="2C76A08F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在整车研发端，公司持续迭代优化研发流程，新品立项前开展充分的市场调研，提升产品与市场需求的匹配度。同时依托发动机外销业务，收集全球多元场景下的产品使用反馈，反哺整车迭代升级。营销层面，采用线上线下相结合的方式开展品牌建设与市场推广，为产品市场转化提供支撑。</w:t>
            </w:r>
          </w:p>
          <w:p w14:paraId="5DFA605E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iCs/>
                <w:color w:val="000000"/>
                <w:sz w:val="24"/>
              </w:rPr>
              <w:t>问题5：SR450X车型当前销售情况以及后续销售规划？</w:t>
            </w:r>
          </w:p>
          <w:p w14:paraId="694FEEDB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答：SR450X是公司重点打造的大排量玩乐型踏板产品，产品综合性能、配置定位贴合海外中大排量玩乐骑行消费需求，市场反馈出色。该产品生产交付初期受多种因素影响，交付节奏放缓，目前生产交付已回归正常节奏。</w:t>
            </w:r>
          </w:p>
          <w:p w14:paraId="2F9CFB6C" w14:textId="77777777" w:rsidR="00334B3F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现阶段供货资源优先向欧洲核心市场倾斜，同时对拉美市场做适度基础铺货。后续公司将依托产品自身竞争力，结合各区域市场节奏有序推进投放，进一步拓展该产品的海外市场空间。</w:t>
            </w:r>
          </w:p>
          <w:p w14:paraId="3A8B394D" w14:textId="0761022C" w:rsidR="00352085" w:rsidRDefault="00000000">
            <w:pPr>
              <w:spacing w:line="360" w:lineRule="auto"/>
              <w:rPr>
                <w:rFonts w:ascii="宋体" w:hAnsi="宋体" w:cs="宋体" w:hint="eastAsia"/>
                <w:b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iCs/>
                <w:color w:val="000000"/>
                <w:sz w:val="24"/>
              </w:rPr>
              <w:t>问题6：公司摩托车新品后续有哪些规划？</w:t>
            </w:r>
          </w:p>
          <w:p w14:paraId="0A220E7A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答：公司将持续丰富摩托车产品矩阵，2026年切入街车赛道，进一步完善品类布局。国内外市场采取差异化的产品策略，国内市场重点聚焦踏板、巡航品类；海外市场围绕踏板、休旅、街车等当地主流消费品类进行布局，并针对不同区域市场的消费特征实施排量差异化配置。依托不断完善的发动机平台体系，持续提升新品开发效率。</w:t>
            </w:r>
          </w:p>
          <w:p w14:paraId="57920715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iCs/>
                <w:color w:val="000000"/>
                <w:sz w:val="24"/>
              </w:rPr>
              <w:t>问题7：请介绍三轮车业务海内外经营现状及未来展望？</w:t>
            </w:r>
          </w:p>
          <w:p w14:paraId="18268347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答：国内三轮车行业市场竞争充分，受监管政策、下游需求变化等因素影响，国内业务面临一定经营压力，出口收入占比将进一步提升。</w:t>
            </w:r>
          </w:p>
          <w:p w14:paraId="1886FBAF" w14:textId="7E8D0796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当前公司三轮出口以西非市场为主，产品以货运三轮（生产工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lastRenderedPageBreak/>
              <w:t>具属性）为主。针对发展中国家，三轮车市场空间广阔。货运三轮车产品作为中国经济社会发展所诞生的特色产品，其运输效率高于人力或畜力车，购买使用成本低于货车，是出色的生产力工具。在广大发展中国家具备较强的市场潜力。当前货运三轮出口市场主要集中在西非，未来在非洲其他区域、拉美及东南亚市场均有较好的市场前景，因此公司逐步将业务资源向海外市场倾斜。公司具备两轮、三轮、四轮及发动机协同的完整产品矩阵，构建了自身差异化竞争优势。针对部分新兴市场，公司采取以三轮车作为市场切入点，后续逐步导入两轮摩托车产品的业务拓展路径，积极把握海外市场发展机遇。</w:t>
            </w:r>
          </w:p>
          <w:p w14:paraId="0D722798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iCs/>
                <w:color w:val="000000"/>
                <w:sz w:val="24"/>
              </w:rPr>
              <w:t>问题8：请介绍四轮车业务的发展规划？</w:t>
            </w:r>
          </w:p>
          <w:p w14:paraId="6F659C7A" w14:textId="77777777" w:rsidR="00352085" w:rsidRDefault="00000000">
            <w:pPr>
              <w:spacing w:line="360" w:lineRule="auto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答：公司将持续完善四轮车产品矩阵，补齐相关产品品类与排量段，深耕产品细分赛道，持续丰富产品供给。针对海外区域市场，结合不同地区消费需求，做好细分产品与市场的匹配，同时依托无极品牌的渠道资源，助力四轮业务的市场拓展。</w:t>
            </w:r>
          </w:p>
        </w:tc>
      </w:tr>
      <w:tr w:rsidR="00352085" w14:paraId="763A22AB" w14:textId="77777777">
        <w:trPr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2F27" w14:textId="77777777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lastRenderedPageBreak/>
              <w:t>附件清单（如有）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DF02" w14:textId="7025217B" w:rsidR="00352085" w:rsidRDefault="00000000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/>
                <w:bCs/>
                <w:iCs/>
                <w:color w:val="000000"/>
                <w:sz w:val="24"/>
              </w:rPr>
              <w:t>公司</w:t>
            </w:r>
            <w:r>
              <w:rPr>
                <w:rFonts w:ascii="宋体" w:hAnsi="宋体" w:hint="eastAsia"/>
                <w:sz w:val="24"/>
              </w:rPr>
              <w:t>严格依照《上市公司投资者关系管理工作指引》《上海证券交易所股票上市规则》等规定，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</w:rPr>
              <w:t>介绍公司管理模式、经营状况、项目情况等，未提供书面资料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，</w:t>
            </w:r>
            <w:r>
              <w:rPr>
                <w:rFonts w:ascii="宋体" w:hAnsi="宋体" w:hint="eastAsia"/>
                <w:sz w:val="24"/>
              </w:rPr>
              <w:t>未出现未公开重大信息泄露等情况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</w:rPr>
              <w:t>。</w:t>
            </w:r>
          </w:p>
        </w:tc>
      </w:tr>
      <w:tr w:rsidR="00823499" w14:paraId="32D0987F" w14:textId="77777777" w:rsidTr="00823499">
        <w:trPr>
          <w:trHeight w:val="196"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42F4" w14:textId="7BDF4383" w:rsidR="00823499" w:rsidRDefault="00823499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6215" w14:textId="16BB8502" w:rsidR="00823499" w:rsidRDefault="00823499">
            <w:pPr>
              <w:spacing w:line="480" w:lineRule="atLeast"/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2026年9月18日</w:t>
            </w:r>
          </w:p>
        </w:tc>
      </w:tr>
    </w:tbl>
    <w:p w14:paraId="2F50FD3F" w14:textId="77777777" w:rsidR="00352085" w:rsidRDefault="00352085">
      <w:pPr>
        <w:rPr>
          <w:rFonts w:ascii="宋体" w:hAnsi="宋体" w:cs="宋体" w:hint="eastAsia"/>
        </w:rPr>
      </w:pPr>
    </w:p>
    <w:sectPr w:rsidR="00352085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1E56" w14:textId="77777777" w:rsidR="0081218C" w:rsidRDefault="0081218C">
      <w:r>
        <w:separator/>
      </w:r>
    </w:p>
  </w:endnote>
  <w:endnote w:type="continuationSeparator" w:id="0">
    <w:p w14:paraId="214201A5" w14:textId="77777777" w:rsidR="0081218C" w:rsidRDefault="0081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4F195" w14:textId="77777777" w:rsidR="0081218C" w:rsidRDefault="0081218C">
      <w:r>
        <w:separator/>
      </w:r>
    </w:p>
  </w:footnote>
  <w:footnote w:type="continuationSeparator" w:id="0">
    <w:p w14:paraId="14F2CF01" w14:textId="77777777" w:rsidR="0081218C" w:rsidRDefault="00812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C5407" w14:textId="77777777" w:rsidR="00352085" w:rsidRDefault="00000000">
    <w:pPr>
      <w:pStyle w:val="a6"/>
      <w:pBdr>
        <w:bottom w:val="single" w:sz="4" w:space="1" w:color="auto"/>
      </w:pBdr>
    </w:pPr>
    <w:r>
      <w:rPr>
        <w:noProof/>
      </w:rPr>
      <w:drawing>
        <wp:anchor distT="0" distB="0" distL="114300" distR="114300" simplePos="0" relativeHeight="251659264" behindDoc="0" locked="0" layoutInCell="1" allowOverlap="1" wp14:anchorId="22BEC2DB" wp14:editId="0B460721">
          <wp:simplePos x="0" y="0"/>
          <wp:positionH relativeFrom="column">
            <wp:posOffset>82550</wp:posOffset>
          </wp:positionH>
          <wp:positionV relativeFrom="paragraph">
            <wp:posOffset>-48895</wp:posOffset>
          </wp:positionV>
          <wp:extent cx="1763395" cy="154305"/>
          <wp:effectExtent l="0" t="0" r="8255" b="0"/>
          <wp:wrapNone/>
          <wp:docPr id="9" name="图片 14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14" descr="logo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495" cy="1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F61060A"/>
    <w:rsid w:val="0005628D"/>
    <w:rsid w:val="000616CA"/>
    <w:rsid w:val="000A38D5"/>
    <w:rsid w:val="00151D1C"/>
    <w:rsid w:val="0017763D"/>
    <w:rsid w:val="001A1861"/>
    <w:rsid w:val="001F5514"/>
    <w:rsid w:val="00265380"/>
    <w:rsid w:val="002B14A9"/>
    <w:rsid w:val="002E2D05"/>
    <w:rsid w:val="002F6CF9"/>
    <w:rsid w:val="00334B3F"/>
    <w:rsid w:val="0034496D"/>
    <w:rsid w:val="00344E6D"/>
    <w:rsid w:val="00352085"/>
    <w:rsid w:val="00365205"/>
    <w:rsid w:val="003F4CAD"/>
    <w:rsid w:val="00444907"/>
    <w:rsid w:val="00476108"/>
    <w:rsid w:val="00476219"/>
    <w:rsid w:val="00482AA5"/>
    <w:rsid w:val="004900E3"/>
    <w:rsid w:val="004D4A40"/>
    <w:rsid w:val="004E4186"/>
    <w:rsid w:val="0050285E"/>
    <w:rsid w:val="00504B4D"/>
    <w:rsid w:val="005079C2"/>
    <w:rsid w:val="005252F9"/>
    <w:rsid w:val="00560C05"/>
    <w:rsid w:val="00563DD3"/>
    <w:rsid w:val="00585F12"/>
    <w:rsid w:val="00591081"/>
    <w:rsid w:val="005B58FD"/>
    <w:rsid w:val="005C70E9"/>
    <w:rsid w:val="005E739B"/>
    <w:rsid w:val="006108FD"/>
    <w:rsid w:val="00611085"/>
    <w:rsid w:val="006256AB"/>
    <w:rsid w:val="00632E12"/>
    <w:rsid w:val="0069494C"/>
    <w:rsid w:val="00715431"/>
    <w:rsid w:val="007B0969"/>
    <w:rsid w:val="007D4E15"/>
    <w:rsid w:val="00803392"/>
    <w:rsid w:val="0081218C"/>
    <w:rsid w:val="00823499"/>
    <w:rsid w:val="00827B37"/>
    <w:rsid w:val="00840347"/>
    <w:rsid w:val="008A0153"/>
    <w:rsid w:val="008D2021"/>
    <w:rsid w:val="008E32EB"/>
    <w:rsid w:val="0092409F"/>
    <w:rsid w:val="00930131"/>
    <w:rsid w:val="0094425C"/>
    <w:rsid w:val="009655DA"/>
    <w:rsid w:val="009670FC"/>
    <w:rsid w:val="00993A92"/>
    <w:rsid w:val="009F1183"/>
    <w:rsid w:val="00A34753"/>
    <w:rsid w:val="00A50B79"/>
    <w:rsid w:val="00A96EA7"/>
    <w:rsid w:val="00AB6C94"/>
    <w:rsid w:val="00AE6596"/>
    <w:rsid w:val="00B25CE6"/>
    <w:rsid w:val="00B66B2A"/>
    <w:rsid w:val="00B80B12"/>
    <w:rsid w:val="00B9552F"/>
    <w:rsid w:val="00BA49BD"/>
    <w:rsid w:val="00BB29B2"/>
    <w:rsid w:val="00BD622C"/>
    <w:rsid w:val="00BD6538"/>
    <w:rsid w:val="00C50FE3"/>
    <w:rsid w:val="00C52004"/>
    <w:rsid w:val="00CF15E4"/>
    <w:rsid w:val="00D071EF"/>
    <w:rsid w:val="00D37CAD"/>
    <w:rsid w:val="00D8290B"/>
    <w:rsid w:val="00D83063"/>
    <w:rsid w:val="00D865AC"/>
    <w:rsid w:val="00DD4811"/>
    <w:rsid w:val="00DE0FB9"/>
    <w:rsid w:val="00DE103B"/>
    <w:rsid w:val="00DE4E78"/>
    <w:rsid w:val="00DE767C"/>
    <w:rsid w:val="00E15573"/>
    <w:rsid w:val="00E660FC"/>
    <w:rsid w:val="00E841D2"/>
    <w:rsid w:val="00EC5922"/>
    <w:rsid w:val="00EE2402"/>
    <w:rsid w:val="00F20293"/>
    <w:rsid w:val="00F401B2"/>
    <w:rsid w:val="00FD4276"/>
    <w:rsid w:val="00FD56A0"/>
    <w:rsid w:val="00FF56DE"/>
    <w:rsid w:val="00FF5C12"/>
    <w:rsid w:val="071C5187"/>
    <w:rsid w:val="073D2216"/>
    <w:rsid w:val="08A12A7E"/>
    <w:rsid w:val="13D243D9"/>
    <w:rsid w:val="168C4F25"/>
    <w:rsid w:val="174E4388"/>
    <w:rsid w:val="17B13DD5"/>
    <w:rsid w:val="1A0D4C8F"/>
    <w:rsid w:val="1B850939"/>
    <w:rsid w:val="1FF50E83"/>
    <w:rsid w:val="226979DF"/>
    <w:rsid w:val="269F5936"/>
    <w:rsid w:val="2C417032"/>
    <w:rsid w:val="32C82C5D"/>
    <w:rsid w:val="34D4352B"/>
    <w:rsid w:val="35AB3C33"/>
    <w:rsid w:val="36EC35A6"/>
    <w:rsid w:val="39807F7E"/>
    <w:rsid w:val="3F61060A"/>
    <w:rsid w:val="3F6E4336"/>
    <w:rsid w:val="48D25F97"/>
    <w:rsid w:val="4A315EB1"/>
    <w:rsid w:val="50F5177B"/>
    <w:rsid w:val="55AA4B09"/>
    <w:rsid w:val="59082B3D"/>
    <w:rsid w:val="5FB51975"/>
    <w:rsid w:val="61391236"/>
    <w:rsid w:val="6DD568C2"/>
    <w:rsid w:val="6FCE2FA0"/>
    <w:rsid w:val="7012394D"/>
    <w:rsid w:val="71B96608"/>
    <w:rsid w:val="7425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91B341"/>
  <w15:docId w15:val="{FA24179A-08A0-4963-B9EF-3A08C780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360" w:lineRule="auto"/>
      <w:jc w:val="center"/>
      <w:outlineLvl w:val="0"/>
    </w:pPr>
    <w:rPr>
      <w:b/>
      <w:kern w:val="44"/>
      <w:sz w:val="30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360" w:lineRule="auto"/>
      <w:jc w:val="left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semiHidden/>
    <w:unhideWhenUsed/>
    <w:qFormat/>
    <w:pPr>
      <w:keepNext/>
      <w:spacing w:line="360" w:lineRule="auto"/>
      <w:outlineLvl w:val="2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1278</Words>
  <Characters>1292</Characters>
  <Application>Microsoft Office Word</Application>
  <DocSecurity>0</DocSecurity>
  <Lines>64</Lines>
  <Paragraphs>45</Paragraphs>
  <ScaleCrop>false</ScaleCrop>
  <Company>Microsoft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霸气的小一一</dc:creator>
  <cp:lastModifiedBy>Administrator</cp:lastModifiedBy>
  <cp:revision>29</cp:revision>
  <dcterms:created xsi:type="dcterms:W3CDTF">2020-09-02T05:36:00Z</dcterms:created>
  <dcterms:modified xsi:type="dcterms:W3CDTF">2026-09-21T07:51:00Z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eyJoZGlkIjoiMzEwNTM5NzYwMDRjMzkwZTVkZjY2ODkwMGIxNGU0OTUiLCJ1c2VySWQiOiIzMDM5NzMzMDcifQ==</vt:lpwstr>
  </property>
  <property fmtid="{D5CDD505-2E9C-101B-9397-08002B2CF9AE}" pid="4" name="ICV">
    <vt:lpwstr>2F4BF602C1594333A1F9214D9E05F524_12</vt:lpwstr>
  </property>
</Properties>
</file>