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32B76" w14:textId="77777777" w:rsidR="000740C5" w:rsidRDefault="00000000">
      <w:pPr>
        <w:spacing w:beforeLines="50" w:before="156" w:afterLines="50" w:after="156" w:line="400" w:lineRule="exact"/>
        <w:rPr>
          <w:bCs/>
          <w:iCs/>
          <w:color w:val="000000"/>
          <w:sz w:val="24"/>
        </w:rPr>
      </w:pPr>
      <w:r>
        <w:rPr>
          <w:rFonts w:hAnsi="宋体"/>
          <w:bCs/>
          <w:iCs/>
          <w:color w:val="000000"/>
          <w:sz w:val="24"/>
        </w:rPr>
        <w:t>证券代码：</w:t>
      </w:r>
      <w:r>
        <w:rPr>
          <w:bCs/>
          <w:iCs/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600358                      </w:t>
      </w:r>
      <w:r>
        <w:rPr>
          <w:rFonts w:hint="eastAsia"/>
          <w:color w:val="000000"/>
          <w:sz w:val="24"/>
        </w:rPr>
        <w:t xml:space="preserve">      </w:t>
      </w:r>
      <w:r>
        <w:rPr>
          <w:color w:val="000000"/>
          <w:sz w:val="24"/>
        </w:rPr>
        <w:t xml:space="preserve">       </w:t>
      </w:r>
      <w:r>
        <w:rPr>
          <w:rFonts w:hAnsi="宋体"/>
          <w:bCs/>
          <w:iCs/>
          <w:color w:val="000000"/>
          <w:sz w:val="24"/>
        </w:rPr>
        <w:t>证券简称：</w:t>
      </w:r>
      <w:r>
        <w:rPr>
          <w:rFonts w:hint="eastAsia"/>
          <w:color w:val="000000"/>
          <w:sz w:val="24"/>
        </w:rPr>
        <w:t>国旅</w:t>
      </w:r>
      <w:r>
        <w:rPr>
          <w:color w:val="000000"/>
          <w:sz w:val="24"/>
        </w:rPr>
        <w:t>联合</w:t>
      </w:r>
    </w:p>
    <w:p w14:paraId="43FE25AD" w14:textId="77777777" w:rsidR="000740C5" w:rsidRDefault="00000000">
      <w:pPr>
        <w:spacing w:beforeLines="50" w:before="156" w:afterLines="50" w:after="156" w:line="480" w:lineRule="auto"/>
        <w:jc w:val="center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  <w:r>
        <w:rPr>
          <w:rFonts w:ascii="宋体" w:hAnsi="宋体"/>
          <w:b/>
          <w:bCs/>
          <w:iCs/>
          <w:color w:val="000000"/>
          <w:sz w:val="32"/>
          <w:szCs w:val="32"/>
        </w:rPr>
        <w:t>国旅文化投资集团股份有限公司</w:t>
      </w:r>
    </w:p>
    <w:p w14:paraId="6FDB98CD" w14:textId="77777777" w:rsidR="000740C5" w:rsidRDefault="00000000">
      <w:pPr>
        <w:spacing w:beforeLines="50" w:before="156" w:afterLines="50" w:after="156" w:line="480" w:lineRule="auto"/>
        <w:jc w:val="center"/>
        <w:rPr>
          <w:bCs/>
          <w:iCs/>
          <w:color w:val="000000"/>
          <w:sz w:val="24"/>
        </w:rPr>
      </w:pP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投资者交流活动记录表</w:t>
      </w: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                  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6847"/>
      </w:tblGrid>
      <w:tr w:rsidR="000740C5" w14:paraId="23D92D65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EFED" w14:textId="77777777" w:rsidR="000740C5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  <w:p w14:paraId="51DE2FE3" w14:textId="77777777" w:rsidR="000740C5" w:rsidRDefault="000740C5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FAAB" w14:textId="77777777" w:rsidR="000740C5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√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特定对象调研</w:t>
            </w:r>
            <w:r>
              <w:rPr>
                <w:kern w:val="0"/>
                <w:sz w:val="24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分析师会议</w:t>
            </w:r>
          </w:p>
          <w:p w14:paraId="52A05ED7" w14:textId="77777777" w:rsidR="000740C5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媒体采访</w:t>
            </w:r>
            <w:r>
              <w:rPr>
                <w:kern w:val="0"/>
                <w:sz w:val="24"/>
              </w:rPr>
              <w:t xml:space="preserve">  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业绩说明会</w:t>
            </w:r>
          </w:p>
          <w:p w14:paraId="6D634D72" w14:textId="77777777" w:rsidR="000740C5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新闻发布会</w:t>
            </w:r>
            <w:r>
              <w:rPr>
                <w:kern w:val="0"/>
                <w:sz w:val="24"/>
              </w:rPr>
              <w:t xml:space="preserve">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路演活动</w:t>
            </w:r>
          </w:p>
          <w:p w14:paraId="1187DA94" w14:textId="77777777" w:rsidR="000740C5" w:rsidRDefault="00000000">
            <w:pPr>
              <w:tabs>
                <w:tab w:val="left" w:pos="2808"/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√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现场参观</w:t>
            </w:r>
            <w:r>
              <w:rPr>
                <w:kern w:val="0"/>
                <w:sz w:val="24"/>
              </w:rPr>
              <w:t xml:space="preserve">         </w:t>
            </w:r>
            <w:r>
              <w:rPr>
                <w:rFonts w:hint="eastAsia"/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 w:hint="eastAsia"/>
                <w:kern w:val="0"/>
                <w:sz w:val="24"/>
              </w:rPr>
              <w:t>其他</w:t>
            </w:r>
          </w:p>
        </w:tc>
      </w:tr>
      <w:tr w:rsidR="000740C5" w14:paraId="63966293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360F" w14:textId="77777777" w:rsidR="000740C5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9CA66" w14:textId="77777777" w:rsidR="000740C5" w:rsidRDefault="00000000">
            <w:pPr>
              <w:spacing w:line="420" w:lineRule="exact"/>
              <w:rPr>
                <w:bCs/>
                <w:iCs/>
                <w:color w:val="000000"/>
                <w:sz w:val="24"/>
                <w:lang w:val="en-GB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长城资产、江西金融资产、江西金控、南昌产投、江西江投资本、中汇人寿、虎步投资、同安投资、广州金控、深圳招商平安、华谊资管、湖北宏泰、东方嘉富、君和资本、华安资管、湖南迪策、江苏苏豪、上海杉</w:t>
            </w:r>
            <w:proofErr w:type="gramStart"/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玺</w:t>
            </w:r>
            <w:proofErr w:type="gramEnd"/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、湖南轻盐、浙江农发产投、台州交投、</w:t>
            </w:r>
            <w:proofErr w:type="gramStart"/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华西银</w:t>
            </w:r>
            <w:proofErr w:type="gramEnd"/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峰、</w:t>
            </w:r>
            <w:proofErr w:type="gramStart"/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轩晖企管</w:t>
            </w:r>
            <w:proofErr w:type="gramEnd"/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、辉腾投资、中文传媒、汉儒教育、派恩特、严成</w:t>
            </w:r>
          </w:p>
        </w:tc>
      </w:tr>
      <w:tr w:rsidR="000740C5" w14:paraId="3E283F35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9219" w14:textId="77777777" w:rsidR="000740C5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83BF" w14:textId="77777777" w:rsidR="000740C5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6</w:t>
            </w:r>
            <w:r>
              <w:rPr>
                <w:bCs/>
                <w:iCs/>
                <w:color w:val="000000"/>
                <w:sz w:val="24"/>
              </w:rPr>
              <w:t>年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9</w:t>
            </w:r>
            <w:r>
              <w:rPr>
                <w:bCs/>
                <w:iCs/>
                <w:color w:val="000000"/>
                <w:sz w:val="24"/>
              </w:rPr>
              <w:t>月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18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日</w:t>
            </w:r>
          </w:p>
        </w:tc>
      </w:tr>
      <w:tr w:rsidR="000740C5" w14:paraId="61E61FA6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A1CE" w14:textId="77777777" w:rsidR="000740C5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A3D6" w14:textId="77777777" w:rsidR="000740C5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1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、江西润田明月山饮料有限责任公司生产基地</w:t>
            </w:r>
          </w:p>
          <w:p w14:paraId="0B05359B" w14:textId="77777777" w:rsidR="000740C5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2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、江西省宜春市袁州区温汤</w:t>
            </w:r>
            <w:proofErr w:type="gramStart"/>
            <w:r>
              <w:rPr>
                <w:rFonts w:hint="eastAsia"/>
                <w:bCs/>
                <w:iCs/>
                <w:color w:val="000000"/>
                <w:sz w:val="24"/>
              </w:rPr>
              <w:t>镇泉都北路</w:t>
            </w:r>
            <w:proofErr w:type="gramEnd"/>
            <w:r>
              <w:rPr>
                <w:rFonts w:hint="eastAsia"/>
                <w:bCs/>
                <w:iCs/>
                <w:color w:val="000000"/>
                <w:sz w:val="24"/>
              </w:rPr>
              <w:t>26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号明月</w:t>
            </w:r>
            <w:proofErr w:type="gramStart"/>
            <w:r>
              <w:rPr>
                <w:rFonts w:hint="eastAsia"/>
                <w:bCs/>
                <w:iCs/>
                <w:color w:val="000000"/>
                <w:sz w:val="24"/>
              </w:rPr>
              <w:t>山维景国际</w:t>
            </w:r>
            <w:proofErr w:type="gramEnd"/>
            <w:r>
              <w:rPr>
                <w:rFonts w:hint="eastAsia"/>
                <w:bCs/>
                <w:iCs/>
                <w:color w:val="000000"/>
                <w:sz w:val="24"/>
              </w:rPr>
              <w:t>温泉度假酒店</w:t>
            </w:r>
          </w:p>
        </w:tc>
      </w:tr>
      <w:tr w:rsidR="000740C5" w14:paraId="3A42A2B9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00D0" w14:textId="77777777" w:rsidR="000740C5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0158" w14:textId="77777777" w:rsidR="000740C5" w:rsidRDefault="00000000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董事长 何新跃</w:t>
            </w:r>
          </w:p>
          <w:p w14:paraId="75811FC6" w14:textId="77777777" w:rsidR="000740C5" w:rsidRDefault="00000000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董事兼</w:t>
            </w:r>
            <w:r>
              <w:rPr>
                <w:rFonts w:ascii="宋体" w:hAnsi="宋体"/>
                <w:bCs/>
                <w:sz w:val="24"/>
              </w:rPr>
              <w:t>总经理</w:t>
            </w:r>
            <w:r>
              <w:rPr>
                <w:rFonts w:ascii="宋体" w:hAnsi="宋体" w:hint="eastAsia"/>
                <w:bCs/>
                <w:sz w:val="24"/>
              </w:rPr>
              <w:t xml:space="preserve">  </w:t>
            </w:r>
            <w:r>
              <w:rPr>
                <w:rFonts w:ascii="宋体" w:hAnsi="宋体"/>
                <w:bCs/>
                <w:sz w:val="24"/>
              </w:rPr>
              <w:t>李颖</w:t>
            </w:r>
          </w:p>
          <w:p w14:paraId="79EDFE53" w14:textId="77777777" w:rsidR="000740C5" w:rsidRDefault="00000000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副总经理兼董事会秘书</w:t>
            </w:r>
            <w:r>
              <w:rPr>
                <w:rFonts w:ascii="宋体" w:hAnsi="宋体" w:hint="eastAsia"/>
                <w:bCs/>
                <w:sz w:val="24"/>
              </w:rPr>
              <w:t xml:space="preserve">  </w:t>
            </w:r>
            <w:r>
              <w:rPr>
                <w:rFonts w:ascii="宋体" w:hAnsi="宋体"/>
                <w:bCs/>
                <w:sz w:val="24"/>
              </w:rPr>
              <w:t>彭慧斌</w:t>
            </w:r>
          </w:p>
        </w:tc>
      </w:tr>
      <w:tr w:rsidR="000740C5" w14:paraId="390AE5DB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69D7" w14:textId="77777777" w:rsidR="000740C5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C593" w14:textId="77777777" w:rsidR="000740C5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b/>
                <w:bCs/>
                <w:iCs/>
                <w:color w:val="000000"/>
                <w:sz w:val="24"/>
              </w:rPr>
              <w:t>​</w:t>
            </w: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一、实地探访水源地</w:t>
            </w:r>
          </w:p>
          <w:p w14:paraId="26AEB99F" w14:textId="658FCF1F" w:rsidR="000740C5" w:rsidRDefault="004028B6">
            <w:pPr>
              <w:spacing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iCs/>
                <w:color w:val="000000"/>
                <w:sz w:val="24"/>
              </w:rPr>
              <w:t>调研人员参观江西省宜春市温汤千年古井及</w:t>
            </w:r>
            <w:proofErr w:type="gramStart"/>
            <w:r>
              <w:rPr>
                <w:rFonts w:ascii="宋体" w:hAnsi="宋体" w:hint="eastAsia"/>
                <w:iCs/>
                <w:color w:val="000000"/>
                <w:sz w:val="24"/>
              </w:rPr>
              <w:t>润田翠天然</w:t>
            </w:r>
            <w:proofErr w:type="gramEnd"/>
            <w:r>
              <w:rPr>
                <w:rFonts w:ascii="宋体" w:hAnsi="宋体" w:hint="eastAsia"/>
                <w:iCs/>
                <w:color w:val="000000"/>
                <w:sz w:val="24"/>
              </w:rPr>
              <w:t>含硒矿泉水生产基地，了解水源保护、取水、过滤、</w:t>
            </w:r>
            <w:proofErr w:type="gramStart"/>
            <w:r>
              <w:rPr>
                <w:rFonts w:ascii="宋体" w:hAnsi="宋体" w:hint="eastAsia"/>
                <w:iCs/>
                <w:color w:val="000000"/>
                <w:sz w:val="24"/>
              </w:rPr>
              <w:t>灌装全</w:t>
            </w:r>
            <w:proofErr w:type="gramEnd"/>
            <w:r>
              <w:rPr>
                <w:rFonts w:ascii="宋体" w:hAnsi="宋体" w:hint="eastAsia"/>
                <w:iCs/>
                <w:color w:val="000000"/>
                <w:sz w:val="24"/>
              </w:rPr>
              <w:t>流程质控体系。润田以明月山温汤深层水源为核心，打造“润田翠”天然含硒矿泉水，产品执行GB8537天然矿泉水标准，以含硒、偏硅酸等矿物特征形成差异化；同步依托吉安东</w:t>
            </w:r>
            <w:proofErr w:type="gramStart"/>
            <w:r>
              <w:rPr>
                <w:rFonts w:ascii="宋体" w:hAnsi="宋体" w:hint="eastAsia"/>
                <w:iCs/>
                <w:color w:val="000000"/>
                <w:sz w:val="24"/>
              </w:rPr>
              <w:t>固高偏</w:t>
            </w:r>
            <w:proofErr w:type="gramEnd"/>
            <w:r>
              <w:rPr>
                <w:rFonts w:ascii="宋体" w:hAnsi="宋体" w:hint="eastAsia"/>
                <w:iCs/>
                <w:color w:val="000000"/>
                <w:sz w:val="24"/>
              </w:rPr>
              <w:t>硅酸水源，构建“含硒+高偏硅酸”双水源产品矩阵。</w:t>
            </w:r>
          </w:p>
          <w:p w14:paraId="3FCC15DE" w14:textId="418AD0F8" w:rsidR="000740C5" w:rsidRDefault="002D0212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二、何新跃董事长发言</w:t>
            </w:r>
          </w:p>
          <w:p w14:paraId="59D9068E" w14:textId="057F9AD4" w:rsidR="000740C5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iCs/>
                <w:color w:val="000000"/>
                <w:sz w:val="24"/>
              </w:rPr>
              <w:t>董事长何新跃围绕“买到的是什么”“未来怎么干”作介绍。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lastRenderedPageBreak/>
              <w:t>润田深耕饮用水三十年，品牌积淀深厚，渠道覆盖多个省份、终端网络深入江西各县乡，布局多处生产基地。公司提出以“产业为本、资本为翼、整合为魂”为路径，目标是打造健康饮品产业集团。具体而言，就是构建“一基多品”的产品矩阵：纯净水基本盘持续做深做实，精耕江西、复制省外成熟经验，靠扁平渠道和先款后</w:t>
            </w:r>
            <w:proofErr w:type="gramStart"/>
            <w:r>
              <w:rPr>
                <w:rFonts w:ascii="宋体" w:hAnsi="宋体" w:hint="eastAsia"/>
                <w:iCs/>
                <w:color w:val="000000"/>
                <w:sz w:val="24"/>
              </w:rPr>
              <w:t>货模式提</w:t>
            </w:r>
            <w:proofErr w:type="gramEnd"/>
            <w:r>
              <w:rPr>
                <w:rFonts w:ascii="宋体" w:hAnsi="宋体" w:hint="eastAsia"/>
                <w:iCs/>
                <w:color w:val="000000"/>
                <w:sz w:val="24"/>
              </w:rPr>
              <w:t>效率，把下沉市场的空间做深做透；矿泉水大力拓展、构筑壁垒，以明月山含硒、东</w:t>
            </w:r>
            <w:proofErr w:type="gramStart"/>
            <w:r>
              <w:rPr>
                <w:rFonts w:ascii="宋体" w:hAnsi="宋体" w:hint="eastAsia"/>
                <w:iCs/>
                <w:color w:val="000000"/>
                <w:sz w:val="24"/>
              </w:rPr>
              <w:t>固高</w:t>
            </w:r>
            <w:r w:rsidR="004028B6">
              <w:rPr>
                <w:rFonts w:ascii="宋体" w:hAnsi="宋体" w:hint="eastAsia"/>
                <w:iCs/>
                <w:color w:val="000000"/>
                <w:sz w:val="24"/>
              </w:rPr>
              <w:t>偏</w:t>
            </w:r>
            <w:proofErr w:type="gramEnd"/>
            <w:r w:rsidR="004028B6">
              <w:rPr>
                <w:rFonts w:ascii="宋体" w:hAnsi="宋体" w:hint="eastAsia"/>
                <w:iCs/>
                <w:color w:val="000000"/>
                <w:sz w:val="24"/>
              </w:rPr>
              <w:t>硅酸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及新水源储备为依托，重点</w:t>
            </w:r>
            <w:proofErr w:type="gramStart"/>
            <w:r>
              <w:rPr>
                <w:rFonts w:ascii="宋体" w:hAnsi="宋体" w:hint="eastAsia"/>
                <w:iCs/>
                <w:color w:val="000000"/>
                <w:sz w:val="24"/>
              </w:rPr>
              <w:t>拓展特通渠道</w:t>
            </w:r>
            <w:proofErr w:type="gramEnd"/>
            <w:r>
              <w:rPr>
                <w:rFonts w:ascii="宋体" w:hAnsi="宋体" w:hint="eastAsia"/>
                <w:iCs/>
                <w:color w:val="000000"/>
                <w:sz w:val="24"/>
              </w:rPr>
              <w:t>与线上复购，抢占含硒矿泉水这一细分赛道；同步布局无糖茶等新品类，江西地标特色饮品轻资产试水，市场验证后再放大。与此同时，以稳团队、活机制、轻包袱三重保障护航，借助上市平台，推动润田从一家区域</w:t>
            </w:r>
            <w:proofErr w:type="gramStart"/>
            <w:r>
              <w:rPr>
                <w:rFonts w:ascii="宋体" w:hAnsi="宋体" w:hint="eastAsia"/>
                <w:iCs/>
                <w:color w:val="000000"/>
                <w:sz w:val="24"/>
              </w:rPr>
              <w:t>水企走向</w:t>
            </w:r>
            <w:proofErr w:type="gramEnd"/>
            <w:r>
              <w:rPr>
                <w:rFonts w:ascii="宋体" w:hAnsi="宋体" w:hint="eastAsia"/>
                <w:iCs/>
                <w:color w:val="000000"/>
                <w:sz w:val="24"/>
              </w:rPr>
              <w:t>健康饮品产业集团。</w:t>
            </w:r>
          </w:p>
          <w:p w14:paraId="131D1FA0" w14:textId="77777777" w:rsidR="002D0212" w:rsidRDefault="002D0212" w:rsidP="002D0212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三、投资者交流</w:t>
            </w:r>
          </w:p>
          <w:p w14:paraId="5CA3FAC7" w14:textId="77777777" w:rsidR="004028B6" w:rsidRDefault="002D0212" w:rsidP="004028B6">
            <w:pPr>
              <w:spacing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iCs/>
                <w:color w:val="000000"/>
                <w:sz w:val="24"/>
              </w:rPr>
              <w:t>公司董事会秘书彭慧斌就上市公司基本情况、润</w:t>
            </w:r>
            <w:proofErr w:type="gramStart"/>
            <w:r>
              <w:rPr>
                <w:rFonts w:ascii="宋体" w:hAnsi="宋体" w:hint="eastAsia"/>
                <w:iCs/>
                <w:color w:val="000000"/>
                <w:sz w:val="24"/>
              </w:rPr>
              <w:t>田经营</w:t>
            </w:r>
            <w:proofErr w:type="gramEnd"/>
            <w:r>
              <w:rPr>
                <w:rFonts w:ascii="宋体" w:hAnsi="宋体" w:hint="eastAsia"/>
                <w:iCs/>
                <w:color w:val="000000"/>
                <w:sz w:val="24"/>
              </w:rPr>
              <w:t>基础及本次重组募集资金方案作介绍。自7月完成润田实业资产过户及新增股份登记后，公司已形成以“包装饮用水为龙头，互联网数字营销和跨境电商为两翼”的业务格局。下一步，润田实业将按照“巩固江西，重点开拓东北、上海，辐射全国”的思路，力争推动江西市场深度精耕、北方市场复制江西经验、华东市场以高端含硒矿泉水实现突破。</w:t>
            </w:r>
          </w:p>
          <w:p w14:paraId="2F3A4265" w14:textId="3DA77799" w:rsidR="000740C5" w:rsidRDefault="00000000" w:rsidP="004028B6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投资者提出的</w:t>
            </w:r>
            <w:r w:rsidR="004028B6"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主要</w:t>
            </w: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问题及公司回复情况</w:t>
            </w:r>
            <w:r w:rsidR="004028B6"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如下：</w:t>
            </w:r>
          </w:p>
          <w:p w14:paraId="7485E03D" w14:textId="77777777" w:rsidR="000740C5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1、PET涨价对公司生产经营影响如何，公司具体采取什么举措进行对冲？</w:t>
            </w:r>
          </w:p>
          <w:p w14:paraId="4EF87873" w14:textId="60FF5B3B" w:rsidR="000740C5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回答：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PET是</w:t>
            </w:r>
            <w:r w:rsidR="006D4ADB">
              <w:rPr>
                <w:rFonts w:ascii="宋体" w:hAnsi="宋体" w:hint="eastAsia"/>
                <w:iCs/>
                <w:color w:val="000000"/>
                <w:sz w:val="24"/>
              </w:rPr>
              <w:t>包装饮用水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的重要生产原材料，公司通过低价锁定策略平衡供应、平抑成本波动。2025</w:t>
            </w:r>
            <w:proofErr w:type="gramStart"/>
            <w:r>
              <w:rPr>
                <w:rFonts w:ascii="宋体" w:hAnsi="宋体" w:hint="eastAsia"/>
                <w:iCs/>
                <w:color w:val="000000"/>
                <w:sz w:val="24"/>
              </w:rPr>
              <w:t>年年底润田</w:t>
            </w:r>
            <w:proofErr w:type="gramEnd"/>
            <w:r>
              <w:rPr>
                <w:rFonts w:ascii="宋体" w:hAnsi="宋体" w:hint="eastAsia"/>
                <w:iCs/>
                <w:color w:val="000000"/>
                <w:sz w:val="24"/>
              </w:rPr>
              <w:t>实业已同相关材料供应商签订框架协议，并在低价位锁定一批PET原材料。我们认为长期油价高位不属于常态，叠加前期低价锁定存货，就目前已发生期间看，原材料涨价对生产成本的影响相对可控。但全年影响仍取决于后续原油及PET价格走势，尚无法作确定判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lastRenderedPageBreak/>
              <w:t>断，全年相关成本及经营业绩影响以公司定期报告披露数据为准。</w:t>
            </w:r>
          </w:p>
          <w:p w14:paraId="2D31AA05" w14:textId="70209EC5" w:rsidR="000740C5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2、原互联网数字营销及跨境</w:t>
            </w:r>
            <w:proofErr w:type="gramStart"/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购是否</w:t>
            </w:r>
            <w:proofErr w:type="gramEnd"/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会剥离？公司未来分红规划如何？润田在饮用水这一块是基本盘，在其他饮料方面有没有规划？</w:t>
            </w:r>
          </w:p>
          <w:p w14:paraId="2CF55AC2" w14:textId="77777777" w:rsidR="000740C5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回答：</w:t>
            </w:r>
          </w:p>
          <w:p w14:paraId="76A04DBA" w14:textId="77777777" w:rsidR="000740C5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iCs/>
                <w:color w:val="000000"/>
                <w:sz w:val="24"/>
              </w:rPr>
              <w:t>1）在重大资产重组期间，公司已将重资产的景区运营业务转让至大股东，并保留现有新线中视（互联网数字营销）</w:t>
            </w:r>
            <w:proofErr w:type="gramStart"/>
            <w:r>
              <w:rPr>
                <w:rFonts w:ascii="宋体" w:hAnsi="宋体" w:hint="eastAsia"/>
                <w:iCs/>
                <w:color w:val="000000"/>
                <w:sz w:val="24"/>
              </w:rPr>
              <w:t>及海际购</w:t>
            </w:r>
            <w:proofErr w:type="gramEnd"/>
            <w:r>
              <w:rPr>
                <w:rFonts w:ascii="宋体" w:hAnsi="宋体" w:hint="eastAsia"/>
                <w:iCs/>
                <w:color w:val="000000"/>
                <w:sz w:val="24"/>
              </w:rPr>
              <w:t>（跨境电商）两块轻资产业务。当前暂无处置上述两块轻资产业务的计划，但是两块业务的经营定位已从追求营</w:t>
            </w:r>
            <w:proofErr w:type="gramStart"/>
            <w:r>
              <w:rPr>
                <w:rFonts w:ascii="宋体" w:hAnsi="宋体" w:hint="eastAsia"/>
                <w:iCs/>
                <w:color w:val="000000"/>
                <w:sz w:val="24"/>
              </w:rPr>
              <w:t>收规模</w:t>
            </w:r>
            <w:proofErr w:type="gramEnd"/>
            <w:r>
              <w:rPr>
                <w:rFonts w:ascii="宋体" w:hAnsi="宋体" w:hint="eastAsia"/>
                <w:iCs/>
                <w:color w:val="000000"/>
                <w:sz w:val="24"/>
              </w:rPr>
              <w:t>转向追求利润，并在2026年上半年基本实现盈亏平衡。未来，新线中视也将为润田提供互联网营销推广赋能，</w:t>
            </w:r>
            <w:proofErr w:type="gramStart"/>
            <w:r>
              <w:rPr>
                <w:rFonts w:ascii="宋体" w:hAnsi="宋体" w:hint="eastAsia"/>
                <w:iCs/>
                <w:color w:val="000000"/>
                <w:sz w:val="24"/>
              </w:rPr>
              <w:t>海际购</w:t>
            </w:r>
            <w:proofErr w:type="gramEnd"/>
            <w:r>
              <w:rPr>
                <w:rFonts w:ascii="宋体" w:hAnsi="宋体" w:hint="eastAsia"/>
                <w:iCs/>
                <w:color w:val="000000"/>
                <w:sz w:val="24"/>
              </w:rPr>
              <w:t>助力润田拓展线上销售渠道。</w:t>
            </w:r>
          </w:p>
          <w:p w14:paraId="55F4467B" w14:textId="77777777" w:rsidR="000740C5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iCs/>
                <w:color w:val="000000"/>
                <w:sz w:val="24"/>
              </w:rPr>
              <w:t>2）公司作为国有控股上市公司，重视投资者回报。后续若公司满足分红条件，将严格按照监管规定，履行完整决策程序，落实分红相关安排。</w:t>
            </w:r>
          </w:p>
          <w:p w14:paraId="1AD432B5" w14:textId="77777777" w:rsidR="000740C5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iCs/>
                <w:color w:val="000000"/>
                <w:sz w:val="24"/>
              </w:rPr>
              <w:t>3）</w:t>
            </w:r>
            <w:r>
              <w:rPr>
                <w:rFonts w:ascii="宋体" w:hAnsi="宋体"/>
                <w:iCs/>
                <w:color w:val="000000"/>
                <w:sz w:val="24"/>
              </w:rPr>
              <w:t>润</w:t>
            </w:r>
            <w:proofErr w:type="gramStart"/>
            <w:r>
              <w:rPr>
                <w:rFonts w:ascii="宋体" w:hAnsi="宋体"/>
                <w:iCs/>
                <w:color w:val="000000"/>
                <w:sz w:val="24"/>
              </w:rPr>
              <w:t>田采取</w:t>
            </w:r>
            <w:proofErr w:type="gramEnd"/>
            <w:r>
              <w:rPr>
                <w:rFonts w:ascii="宋体" w:hAnsi="宋体"/>
                <w:iCs/>
                <w:color w:val="000000"/>
                <w:sz w:val="24"/>
              </w:rPr>
              <w:t>多品类产品布局策略，借助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广泛的</w:t>
            </w:r>
            <w:r>
              <w:rPr>
                <w:rFonts w:ascii="宋体" w:hAnsi="宋体"/>
                <w:iCs/>
                <w:color w:val="000000"/>
                <w:sz w:val="24"/>
              </w:rPr>
              <w:t>终端网络嵌入苏打水、蜂蜜水、电解质水等饮品，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同步布局无糖茶等新品类，江西地标特色饮品轻资产试水，市场验证后再放大，持续推动</w:t>
            </w:r>
            <w:r>
              <w:rPr>
                <w:rFonts w:ascii="宋体" w:hAnsi="宋体"/>
                <w:iCs/>
                <w:color w:val="000000"/>
                <w:sz w:val="24"/>
              </w:rPr>
              <w:t>提升单网点产出效率。</w:t>
            </w:r>
          </w:p>
          <w:p w14:paraId="70B1A92D" w14:textId="77777777" w:rsidR="000740C5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3、如何看待公司现有估值？公司产业链及产能布局规划如何？大股东对上市公司未来业务增量的赋能计划？市场已经有竹、纸等新型包装材料，公司对包装材是否有其他变革规划？</w:t>
            </w:r>
          </w:p>
          <w:p w14:paraId="4703A895" w14:textId="77777777" w:rsidR="000740C5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回答：</w:t>
            </w:r>
          </w:p>
          <w:p w14:paraId="6AB405F3" w14:textId="22E9FED3" w:rsidR="000740C5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iCs/>
                <w:color w:val="000000"/>
                <w:sz w:val="24"/>
              </w:rPr>
              <w:t>1）本次重组润田实业100%股权交易作价30.09亿元，以收益法为评估结论，评估主要考虑历史业绩、品牌渠道价值及业绩承诺衔接等因素，相关静态估值可结合已披露历史数据测算。润田过往发展</w:t>
            </w:r>
            <w:r>
              <w:rPr>
                <w:rFonts w:ascii="宋体" w:hAnsi="宋体"/>
                <w:iCs/>
                <w:color w:val="000000"/>
                <w:sz w:val="24"/>
              </w:rPr>
              <w:t>稳健，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现在已</w:t>
            </w:r>
            <w:r>
              <w:rPr>
                <w:rFonts w:ascii="宋体" w:hAnsi="宋体"/>
                <w:iCs/>
                <w:color w:val="000000"/>
                <w:sz w:val="24"/>
              </w:rPr>
              <w:t>进入到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上市公司体系</w:t>
            </w:r>
            <w:r>
              <w:rPr>
                <w:rFonts w:ascii="宋体" w:hAnsi="宋体"/>
                <w:iCs/>
                <w:color w:val="000000"/>
                <w:sz w:val="24"/>
              </w:rPr>
              <w:t>，我们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将充分利用上市公司的优势，协同润田拓宽市场布局</w:t>
            </w:r>
            <w:r>
              <w:rPr>
                <w:rFonts w:ascii="宋体" w:hAnsi="宋体"/>
                <w:iCs/>
                <w:color w:val="000000"/>
                <w:sz w:val="24"/>
              </w:rPr>
              <w:t>，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巩固</w:t>
            </w:r>
            <w:r>
              <w:rPr>
                <w:rFonts w:ascii="宋体" w:hAnsi="宋体"/>
                <w:iCs/>
                <w:color w:val="000000"/>
                <w:sz w:val="24"/>
              </w:rPr>
              <w:t>高端矿泉水领域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lastRenderedPageBreak/>
              <w:t>优势与市场规模，持续发力推动经营业绩和投资价值提升</w:t>
            </w:r>
            <w:r>
              <w:rPr>
                <w:rFonts w:ascii="宋体" w:hAnsi="宋体"/>
                <w:iCs/>
                <w:color w:val="000000"/>
                <w:sz w:val="24"/>
              </w:rPr>
              <w:t>。</w:t>
            </w:r>
          </w:p>
          <w:p w14:paraId="4233EAF2" w14:textId="77777777" w:rsidR="000740C5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iCs/>
                <w:color w:val="000000"/>
                <w:sz w:val="24"/>
              </w:rPr>
              <w:t>2）润田现已拥有明月山含硒矿泉水、吉安东</w:t>
            </w:r>
            <w:proofErr w:type="gramStart"/>
            <w:r>
              <w:rPr>
                <w:rFonts w:ascii="宋体" w:hAnsi="宋体" w:hint="eastAsia"/>
                <w:iCs/>
                <w:color w:val="000000"/>
                <w:sz w:val="24"/>
              </w:rPr>
              <w:t>固高偏</w:t>
            </w:r>
            <w:proofErr w:type="gramEnd"/>
            <w:r>
              <w:rPr>
                <w:rFonts w:ascii="宋体" w:hAnsi="宋体" w:hint="eastAsia"/>
                <w:iCs/>
                <w:color w:val="000000"/>
                <w:sz w:val="24"/>
              </w:rPr>
              <w:t>硅酸矿泉水等优质水源，其中明月山含硒矿泉水已签署长期独家供应协议，吉安东固矿泉水已取得采矿权和取水证，其他江西优质矿泉水水源地的相关工作也在积极推进中。优质的矿泉水水源是稀缺性资源，发展空间巨大，这是我们持续发力推动做矿泉水的底气。</w:t>
            </w:r>
          </w:p>
          <w:p w14:paraId="308C49F4" w14:textId="79B42AEA" w:rsidR="000740C5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iCs/>
                <w:color w:val="000000"/>
                <w:sz w:val="24"/>
              </w:rPr>
              <w:t>3）江西省推动国资国企改革、盘活存量国有资产和发展大消费产业，为本次重组提供了政策环境。江西省重视本土消费品牌培育，省国资委系统各级党政机关均优先推荐使用润田产品；同时江西长旅集团旗下拥有80多家酒店、5个景区，可为润田提供丰富的线下应用场景；</w:t>
            </w:r>
            <w:r w:rsidR="004028B6">
              <w:rPr>
                <w:rFonts w:ascii="宋体" w:hAnsi="宋体" w:hint="eastAsia"/>
                <w:iCs/>
                <w:color w:val="000000"/>
                <w:sz w:val="24"/>
              </w:rPr>
              <w:t>此外，润田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已在</w:t>
            </w:r>
            <w:proofErr w:type="gramStart"/>
            <w:r>
              <w:rPr>
                <w:rFonts w:ascii="宋体" w:hAnsi="宋体" w:hint="eastAsia"/>
                <w:iCs/>
                <w:color w:val="000000"/>
                <w:sz w:val="24"/>
              </w:rPr>
              <w:t>依托国</w:t>
            </w:r>
            <w:proofErr w:type="gramEnd"/>
            <w:r>
              <w:rPr>
                <w:rFonts w:ascii="宋体" w:hAnsi="宋体" w:hint="eastAsia"/>
                <w:iCs/>
                <w:color w:val="000000"/>
                <w:sz w:val="24"/>
              </w:rPr>
              <w:t>资体系的广泛朋友圈资源，</w:t>
            </w:r>
            <w:r w:rsidR="004028B6">
              <w:rPr>
                <w:rFonts w:ascii="宋体" w:hAnsi="宋体" w:hint="eastAsia"/>
                <w:iCs/>
                <w:color w:val="000000"/>
                <w:sz w:val="24"/>
              </w:rPr>
              <w:t>持续发力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拓展B端渠道。润田多年稳健发展与本次重组顺利完成就是赋能计划的直接体现。</w:t>
            </w:r>
          </w:p>
          <w:p w14:paraId="313959B2" w14:textId="77777777" w:rsidR="000740C5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iCs/>
                <w:color w:val="000000"/>
                <w:sz w:val="24"/>
              </w:rPr>
              <w:t>4）当前，纸质替代PET作为包装材料行业应用极少，纸质材料需要额外喷涂化学防水层，叠加专利费后，综合成本远超PET材料，暂不具备大规模推广的经济性，且多数普通消费者仍更接受PET包装，公司暂不考虑大规模切换包装材料。</w:t>
            </w:r>
          </w:p>
          <w:p w14:paraId="17553CFB" w14:textId="77777777" w:rsidR="000740C5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4、上海区域含硒水，后续从封闭渠道走向</w:t>
            </w:r>
            <w:proofErr w:type="gramStart"/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全流通</w:t>
            </w:r>
            <w:proofErr w:type="gramEnd"/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的具体拓展措施有哪些？含硒水30万吨产能利用率提升后，利润的预期如何？</w:t>
            </w:r>
          </w:p>
          <w:p w14:paraId="4F633BC4" w14:textId="77777777" w:rsidR="000740C5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回答：</w:t>
            </w:r>
          </w:p>
          <w:p w14:paraId="2655A658" w14:textId="77777777" w:rsidR="000740C5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iCs/>
                <w:color w:val="000000"/>
                <w:sz w:val="24"/>
              </w:rPr>
              <w:t>1）公司将选择性落地连锁新型渠道，转化物业管家为资源型经销商，并依托社区</w:t>
            </w:r>
            <w:proofErr w:type="gramStart"/>
            <w:r>
              <w:rPr>
                <w:rFonts w:ascii="宋体" w:hAnsi="宋体" w:hint="eastAsia"/>
                <w:iCs/>
                <w:color w:val="000000"/>
                <w:sz w:val="24"/>
              </w:rPr>
              <w:t>梯媒广告</w:t>
            </w:r>
            <w:proofErr w:type="gramEnd"/>
            <w:r>
              <w:rPr>
                <w:rFonts w:ascii="宋体" w:hAnsi="宋体" w:hint="eastAsia"/>
                <w:iCs/>
                <w:color w:val="000000"/>
                <w:sz w:val="24"/>
              </w:rPr>
              <w:t>定向渗透周边小区，实现从现有封闭渠道逐步向半封闭的餐饮、茶室场景渗透，最终走向全流通。全流通渠道中，我们将优先推广1元、2元的大众水产品，3元含硒水暂不盲目大面积终端铺货。</w:t>
            </w:r>
          </w:p>
          <w:p w14:paraId="386F3483" w14:textId="0FDF5683" w:rsidR="000740C5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iCs/>
                <w:color w:val="000000"/>
                <w:sz w:val="24"/>
              </w:rPr>
              <w:t>2）30万吨含硒水产能利用率还有提升空间，产能可支撑未来3年</w:t>
            </w:r>
            <w:r w:rsidR="004028B6">
              <w:rPr>
                <w:rFonts w:ascii="宋体" w:hAnsi="宋体" w:hint="eastAsia"/>
                <w:iCs/>
                <w:color w:val="000000"/>
                <w:sz w:val="24"/>
              </w:rPr>
              <w:t>的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拓展需求。若后续产能饱和，公司也可通过申请新增水源资质、调整价格</w:t>
            </w:r>
            <w:r w:rsidR="004028B6">
              <w:rPr>
                <w:rFonts w:ascii="宋体" w:hAnsi="宋体" w:hint="eastAsia"/>
                <w:iCs/>
                <w:color w:val="000000"/>
                <w:sz w:val="24"/>
              </w:rPr>
              <w:t>等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方式消化缺口。</w:t>
            </w:r>
          </w:p>
          <w:p w14:paraId="42831B28" w14:textId="77777777" w:rsidR="000740C5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lastRenderedPageBreak/>
              <w:t>5、公司当前披露的润田实业业绩承诺是否偏保守，实际经营能否超额完成？后续资源投入侧重</w:t>
            </w:r>
            <w:proofErr w:type="gramStart"/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守基本</w:t>
            </w:r>
            <w:proofErr w:type="gramEnd"/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盘还是拓展新渠道，茶饮等新品类、电</w:t>
            </w:r>
            <w:proofErr w:type="gramStart"/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商渠道</w:t>
            </w:r>
            <w:proofErr w:type="gramEnd"/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 xml:space="preserve">的营收占比是否有明确目标？ </w:t>
            </w:r>
          </w:p>
          <w:p w14:paraId="7E79EED9" w14:textId="77777777" w:rsidR="000740C5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回答：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重组评估阶段设置的业绩承诺根据评估预测确定，评估预测保持了一定谨慎性。原本设定的业绩对</w:t>
            </w:r>
            <w:proofErr w:type="gramStart"/>
            <w:r>
              <w:rPr>
                <w:rFonts w:ascii="宋体" w:hAnsi="宋体" w:hint="eastAsia"/>
                <w:iCs/>
                <w:color w:val="000000"/>
                <w:sz w:val="24"/>
              </w:rPr>
              <w:t>赌目标</w:t>
            </w:r>
            <w:proofErr w:type="gramEnd"/>
            <w:r>
              <w:rPr>
                <w:rFonts w:ascii="宋体" w:hAnsi="宋体" w:hint="eastAsia"/>
                <w:iCs/>
                <w:color w:val="000000"/>
                <w:sz w:val="24"/>
              </w:rPr>
              <w:t>包含2025年的1.72亿元，实际2025年1-10月已完成2.24亿元净利润（该数据已公开披露）。进入2026年以来，原材料成本上涨及部分地区受台风、强降雨等极端天气影响，对经营带来一定扰动，但公司通过渠道下沉、多品类组合及成本管控等措施积极应对。具体2026年度经营业绩以公司定期报告披露数据为准。</w:t>
            </w:r>
          </w:p>
          <w:p w14:paraId="11490329" w14:textId="77777777" w:rsidR="000740C5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iCs/>
                <w:color w:val="000000"/>
                <w:sz w:val="24"/>
              </w:rPr>
              <w:t>基本盘与新渠道都是我们要攻坚的，一方面，守住江西、辽宁两大区域基本盘，巩固一元水大众市场的领先优势，保障稳定现金流底盘。另一方面，将公域、</w:t>
            </w:r>
            <w:proofErr w:type="gramStart"/>
            <w:r>
              <w:rPr>
                <w:rFonts w:ascii="宋体" w:hAnsi="宋体" w:hint="eastAsia"/>
                <w:iCs/>
                <w:color w:val="000000"/>
                <w:sz w:val="24"/>
              </w:rPr>
              <w:t>私域平台</w:t>
            </w:r>
            <w:proofErr w:type="gramEnd"/>
            <w:r>
              <w:rPr>
                <w:rFonts w:ascii="宋体" w:hAnsi="宋体" w:hint="eastAsia"/>
                <w:iCs/>
                <w:color w:val="000000"/>
                <w:sz w:val="24"/>
              </w:rPr>
              <w:t>转化为经销商去进攻新市场，例如，依托电商平台快渗透江苏、四川等传统线下渠道难以突破的空白市场。同时，电商部与线下区域经销商考核体系打通，线下经销商可运营线上平台服务B端客户，</w:t>
            </w:r>
            <w:proofErr w:type="gramStart"/>
            <w:r>
              <w:rPr>
                <w:rFonts w:ascii="宋体" w:hAnsi="宋体" w:hint="eastAsia"/>
                <w:iCs/>
                <w:color w:val="000000"/>
                <w:sz w:val="24"/>
              </w:rPr>
              <w:t>实现线上线下渠道</w:t>
            </w:r>
            <w:proofErr w:type="gramEnd"/>
            <w:r>
              <w:rPr>
                <w:rFonts w:ascii="宋体" w:hAnsi="宋体" w:hint="eastAsia"/>
                <w:iCs/>
                <w:color w:val="000000"/>
                <w:sz w:val="24"/>
              </w:rPr>
              <w:t>双向赋能。</w:t>
            </w:r>
          </w:p>
        </w:tc>
      </w:tr>
      <w:tr w:rsidR="000740C5" w14:paraId="1AD756DB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0D19B" w14:textId="77777777" w:rsidR="000740C5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lastRenderedPageBreak/>
              <w:t>附件清单（如有）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1959" w14:textId="77777777" w:rsidR="000740C5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无</w:t>
            </w:r>
          </w:p>
        </w:tc>
      </w:tr>
      <w:tr w:rsidR="000740C5" w14:paraId="16504F35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BDC36" w14:textId="77777777" w:rsidR="000740C5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D67C" w14:textId="78A71A43" w:rsidR="000740C5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6</w:t>
            </w:r>
            <w:r>
              <w:rPr>
                <w:bCs/>
                <w:iCs/>
                <w:color w:val="000000"/>
                <w:sz w:val="24"/>
              </w:rPr>
              <w:t>-0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9</w:t>
            </w:r>
            <w:r>
              <w:rPr>
                <w:bCs/>
                <w:iCs/>
                <w:color w:val="000000"/>
                <w:sz w:val="24"/>
              </w:rPr>
              <w:t>-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2</w:t>
            </w:r>
            <w:r w:rsidR="002D0212">
              <w:rPr>
                <w:rFonts w:hint="eastAsia"/>
                <w:bCs/>
                <w:iCs/>
                <w:color w:val="000000"/>
                <w:sz w:val="24"/>
              </w:rPr>
              <w:t>1</w:t>
            </w:r>
          </w:p>
        </w:tc>
      </w:tr>
    </w:tbl>
    <w:p w14:paraId="21FB56FC" w14:textId="77777777" w:rsidR="000740C5" w:rsidRDefault="000740C5"/>
    <w:sectPr w:rsidR="000740C5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C4243" w14:textId="77777777" w:rsidR="00AE071C" w:rsidRDefault="00AE071C">
      <w:r>
        <w:separator/>
      </w:r>
    </w:p>
  </w:endnote>
  <w:endnote w:type="continuationSeparator" w:id="0">
    <w:p w14:paraId="2A8E180B" w14:textId="77777777" w:rsidR="00AE071C" w:rsidRDefault="00AE0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A3A32" w14:textId="77777777" w:rsidR="000740C5" w:rsidRDefault="000740C5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23375" w14:textId="77777777" w:rsidR="00AE071C" w:rsidRDefault="00AE071C">
      <w:r>
        <w:separator/>
      </w:r>
    </w:p>
  </w:footnote>
  <w:footnote w:type="continuationSeparator" w:id="0">
    <w:p w14:paraId="0BF6ED2B" w14:textId="77777777" w:rsidR="00AE071C" w:rsidRDefault="00AE07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1C7"/>
    <w:rsid w:val="B7DDD54D"/>
    <w:rsid w:val="E3FFE6ED"/>
    <w:rsid w:val="F5DB8A63"/>
    <w:rsid w:val="F797912E"/>
    <w:rsid w:val="FE7B4896"/>
    <w:rsid w:val="00021D04"/>
    <w:rsid w:val="000268C0"/>
    <w:rsid w:val="000363B5"/>
    <w:rsid w:val="000375D7"/>
    <w:rsid w:val="00043015"/>
    <w:rsid w:val="00046DDE"/>
    <w:rsid w:val="00047EB9"/>
    <w:rsid w:val="00050D19"/>
    <w:rsid w:val="00060A74"/>
    <w:rsid w:val="00067110"/>
    <w:rsid w:val="000740C5"/>
    <w:rsid w:val="00076E08"/>
    <w:rsid w:val="0009298A"/>
    <w:rsid w:val="000A2808"/>
    <w:rsid w:val="000A3BAC"/>
    <w:rsid w:val="000B0D08"/>
    <w:rsid w:val="000C26FD"/>
    <w:rsid w:val="000C2D85"/>
    <w:rsid w:val="000D0DA7"/>
    <w:rsid w:val="000E2A54"/>
    <w:rsid w:val="000E5700"/>
    <w:rsid w:val="000F0C4B"/>
    <w:rsid w:val="000F0E22"/>
    <w:rsid w:val="00105A04"/>
    <w:rsid w:val="00113D87"/>
    <w:rsid w:val="001169A9"/>
    <w:rsid w:val="00125EB2"/>
    <w:rsid w:val="00142A4C"/>
    <w:rsid w:val="00144279"/>
    <w:rsid w:val="001452FF"/>
    <w:rsid w:val="00150327"/>
    <w:rsid w:val="0016617A"/>
    <w:rsid w:val="00167E99"/>
    <w:rsid w:val="001804E9"/>
    <w:rsid w:val="001845C7"/>
    <w:rsid w:val="001975AB"/>
    <w:rsid w:val="001A00F5"/>
    <w:rsid w:val="001A1F65"/>
    <w:rsid w:val="001A5CE9"/>
    <w:rsid w:val="001C50AD"/>
    <w:rsid w:val="001D22EE"/>
    <w:rsid w:val="001D291D"/>
    <w:rsid w:val="001D4C89"/>
    <w:rsid w:val="001E1838"/>
    <w:rsid w:val="001E3145"/>
    <w:rsid w:val="001E6509"/>
    <w:rsid w:val="001E7968"/>
    <w:rsid w:val="00201D54"/>
    <w:rsid w:val="00210F9A"/>
    <w:rsid w:val="0022180A"/>
    <w:rsid w:val="00223ABC"/>
    <w:rsid w:val="002241B9"/>
    <w:rsid w:val="002274D9"/>
    <w:rsid w:val="0023455A"/>
    <w:rsid w:val="00237994"/>
    <w:rsid w:val="00237F0C"/>
    <w:rsid w:val="0024531F"/>
    <w:rsid w:val="00251D58"/>
    <w:rsid w:val="002530EE"/>
    <w:rsid w:val="002549E6"/>
    <w:rsid w:val="00256602"/>
    <w:rsid w:val="0026085E"/>
    <w:rsid w:val="00262727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27FB"/>
    <w:rsid w:val="002B71B8"/>
    <w:rsid w:val="002B7469"/>
    <w:rsid w:val="002C22C6"/>
    <w:rsid w:val="002C6568"/>
    <w:rsid w:val="002C723B"/>
    <w:rsid w:val="002D0212"/>
    <w:rsid w:val="002D39BC"/>
    <w:rsid w:val="002E1B15"/>
    <w:rsid w:val="002E1D3A"/>
    <w:rsid w:val="002E4C65"/>
    <w:rsid w:val="003005F0"/>
    <w:rsid w:val="003030BF"/>
    <w:rsid w:val="00304F89"/>
    <w:rsid w:val="00306023"/>
    <w:rsid w:val="003108EC"/>
    <w:rsid w:val="00327D5D"/>
    <w:rsid w:val="00344914"/>
    <w:rsid w:val="0034585C"/>
    <w:rsid w:val="00346917"/>
    <w:rsid w:val="00354A7B"/>
    <w:rsid w:val="00360FD7"/>
    <w:rsid w:val="00360FDA"/>
    <w:rsid w:val="00363075"/>
    <w:rsid w:val="00367D18"/>
    <w:rsid w:val="00372A1C"/>
    <w:rsid w:val="0037435A"/>
    <w:rsid w:val="00377D8F"/>
    <w:rsid w:val="00383679"/>
    <w:rsid w:val="003928D1"/>
    <w:rsid w:val="003A1E68"/>
    <w:rsid w:val="003B0122"/>
    <w:rsid w:val="003B0BE5"/>
    <w:rsid w:val="003C4A66"/>
    <w:rsid w:val="003D18F1"/>
    <w:rsid w:val="003E001E"/>
    <w:rsid w:val="003E74C6"/>
    <w:rsid w:val="003F7C4D"/>
    <w:rsid w:val="0040075F"/>
    <w:rsid w:val="00402828"/>
    <w:rsid w:val="004028B6"/>
    <w:rsid w:val="00403300"/>
    <w:rsid w:val="00410890"/>
    <w:rsid w:val="004118C0"/>
    <w:rsid w:val="00411B4A"/>
    <w:rsid w:val="004145FA"/>
    <w:rsid w:val="00417A31"/>
    <w:rsid w:val="0042004B"/>
    <w:rsid w:val="00433384"/>
    <w:rsid w:val="0043777D"/>
    <w:rsid w:val="0045767F"/>
    <w:rsid w:val="00463E9B"/>
    <w:rsid w:val="00467414"/>
    <w:rsid w:val="00473F30"/>
    <w:rsid w:val="0048139A"/>
    <w:rsid w:val="0048591A"/>
    <w:rsid w:val="00486D86"/>
    <w:rsid w:val="0048721A"/>
    <w:rsid w:val="00496000"/>
    <w:rsid w:val="004A0BD5"/>
    <w:rsid w:val="004A1BBF"/>
    <w:rsid w:val="004A73E5"/>
    <w:rsid w:val="004C19BF"/>
    <w:rsid w:val="004D7640"/>
    <w:rsid w:val="004E1A9B"/>
    <w:rsid w:val="00500AB6"/>
    <w:rsid w:val="005155FB"/>
    <w:rsid w:val="00523907"/>
    <w:rsid w:val="00526F7A"/>
    <w:rsid w:val="00537C53"/>
    <w:rsid w:val="005438F5"/>
    <w:rsid w:val="00544901"/>
    <w:rsid w:val="005474D3"/>
    <w:rsid w:val="00550737"/>
    <w:rsid w:val="00555DD2"/>
    <w:rsid w:val="00560268"/>
    <w:rsid w:val="00565ED9"/>
    <w:rsid w:val="00573F7C"/>
    <w:rsid w:val="005760C6"/>
    <w:rsid w:val="00585A1B"/>
    <w:rsid w:val="00591260"/>
    <w:rsid w:val="00591314"/>
    <w:rsid w:val="00593D40"/>
    <w:rsid w:val="00595F1B"/>
    <w:rsid w:val="005A33EA"/>
    <w:rsid w:val="005A3BE0"/>
    <w:rsid w:val="005B1026"/>
    <w:rsid w:val="005B4663"/>
    <w:rsid w:val="005B642F"/>
    <w:rsid w:val="005C04C1"/>
    <w:rsid w:val="005C1785"/>
    <w:rsid w:val="005C18E3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26F4C"/>
    <w:rsid w:val="00632E78"/>
    <w:rsid w:val="006344F1"/>
    <w:rsid w:val="00637186"/>
    <w:rsid w:val="00646DF4"/>
    <w:rsid w:val="00651DE6"/>
    <w:rsid w:val="006523BB"/>
    <w:rsid w:val="0065347E"/>
    <w:rsid w:val="00654351"/>
    <w:rsid w:val="00654B49"/>
    <w:rsid w:val="00662505"/>
    <w:rsid w:val="0066674C"/>
    <w:rsid w:val="00667174"/>
    <w:rsid w:val="00673CBF"/>
    <w:rsid w:val="006760F7"/>
    <w:rsid w:val="006861C7"/>
    <w:rsid w:val="00686DDF"/>
    <w:rsid w:val="00697B12"/>
    <w:rsid w:val="006A55BB"/>
    <w:rsid w:val="006A7613"/>
    <w:rsid w:val="006B661A"/>
    <w:rsid w:val="006B7D00"/>
    <w:rsid w:val="006C6BC5"/>
    <w:rsid w:val="006D4ADB"/>
    <w:rsid w:val="006D61A2"/>
    <w:rsid w:val="006E1DB4"/>
    <w:rsid w:val="007509C2"/>
    <w:rsid w:val="00753D49"/>
    <w:rsid w:val="00753DB6"/>
    <w:rsid w:val="00763847"/>
    <w:rsid w:val="00771FE3"/>
    <w:rsid w:val="00776BDE"/>
    <w:rsid w:val="00786870"/>
    <w:rsid w:val="007876D8"/>
    <w:rsid w:val="00790B31"/>
    <w:rsid w:val="00792237"/>
    <w:rsid w:val="0079272A"/>
    <w:rsid w:val="007A1DA9"/>
    <w:rsid w:val="007B2252"/>
    <w:rsid w:val="007B79D9"/>
    <w:rsid w:val="007C67B1"/>
    <w:rsid w:val="007D1CB6"/>
    <w:rsid w:val="007E354A"/>
    <w:rsid w:val="007E69C8"/>
    <w:rsid w:val="0080525B"/>
    <w:rsid w:val="008062C5"/>
    <w:rsid w:val="0080741A"/>
    <w:rsid w:val="00814B5B"/>
    <w:rsid w:val="00836F34"/>
    <w:rsid w:val="00843E73"/>
    <w:rsid w:val="00844EBF"/>
    <w:rsid w:val="00854F61"/>
    <w:rsid w:val="00864202"/>
    <w:rsid w:val="00873B59"/>
    <w:rsid w:val="0087701F"/>
    <w:rsid w:val="00882031"/>
    <w:rsid w:val="0089283D"/>
    <w:rsid w:val="008A02BA"/>
    <w:rsid w:val="008A0ADC"/>
    <w:rsid w:val="008A1BAB"/>
    <w:rsid w:val="008B38B7"/>
    <w:rsid w:val="008B458E"/>
    <w:rsid w:val="008C4D4A"/>
    <w:rsid w:val="008D69BF"/>
    <w:rsid w:val="008E11AE"/>
    <w:rsid w:val="008E1708"/>
    <w:rsid w:val="008E4844"/>
    <w:rsid w:val="00904492"/>
    <w:rsid w:val="00904DFB"/>
    <w:rsid w:val="0091457B"/>
    <w:rsid w:val="00923763"/>
    <w:rsid w:val="00930ED6"/>
    <w:rsid w:val="0093293F"/>
    <w:rsid w:val="00933105"/>
    <w:rsid w:val="009474EF"/>
    <w:rsid w:val="00962626"/>
    <w:rsid w:val="00975AEC"/>
    <w:rsid w:val="009767DD"/>
    <w:rsid w:val="00977AF2"/>
    <w:rsid w:val="00980B89"/>
    <w:rsid w:val="00985FC5"/>
    <w:rsid w:val="00993BDD"/>
    <w:rsid w:val="009A6DFB"/>
    <w:rsid w:val="009B6EC0"/>
    <w:rsid w:val="009C7FAF"/>
    <w:rsid w:val="009D4199"/>
    <w:rsid w:val="009D7A93"/>
    <w:rsid w:val="009E5560"/>
    <w:rsid w:val="009E5E6A"/>
    <w:rsid w:val="009F0DD5"/>
    <w:rsid w:val="009F1B95"/>
    <w:rsid w:val="009F6C05"/>
    <w:rsid w:val="009F7D72"/>
    <w:rsid w:val="00A00605"/>
    <w:rsid w:val="00A13CB6"/>
    <w:rsid w:val="00A14A1A"/>
    <w:rsid w:val="00A22CDD"/>
    <w:rsid w:val="00A25AEE"/>
    <w:rsid w:val="00A31EB1"/>
    <w:rsid w:val="00A33AEA"/>
    <w:rsid w:val="00A461CD"/>
    <w:rsid w:val="00A469C5"/>
    <w:rsid w:val="00A5317D"/>
    <w:rsid w:val="00A6284E"/>
    <w:rsid w:val="00A63E81"/>
    <w:rsid w:val="00A726F2"/>
    <w:rsid w:val="00A74849"/>
    <w:rsid w:val="00A8775A"/>
    <w:rsid w:val="00AA5998"/>
    <w:rsid w:val="00AB07E7"/>
    <w:rsid w:val="00AD1BA8"/>
    <w:rsid w:val="00AD2C49"/>
    <w:rsid w:val="00AE071C"/>
    <w:rsid w:val="00AE324C"/>
    <w:rsid w:val="00B0070A"/>
    <w:rsid w:val="00B02A29"/>
    <w:rsid w:val="00B03522"/>
    <w:rsid w:val="00B04AD6"/>
    <w:rsid w:val="00B14CAA"/>
    <w:rsid w:val="00B21EC8"/>
    <w:rsid w:val="00B257CE"/>
    <w:rsid w:val="00B43494"/>
    <w:rsid w:val="00B4746C"/>
    <w:rsid w:val="00B60CA4"/>
    <w:rsid w:val="00B65354"/>
    <w:rsid w:val="00B71A0E"/>
    <w:rsid w:val="00B720B3"/>
    <w:rsid w:val="00B81765"/>
    <w:rsid w:val="00B832F5"/>
    <w:rsid w:val="00BA2FAB"/>
    <w:rsid w:val="00BB41A1"/>
    <w:rsid w:val="00BB5E28"/>
    <w:rsid w:val="00BD15F3"/>
    <w:rsid w:val="00BD29D4"/>
    <w:rsid w:val="00BD43C6"/>
    <w:rsid w:val="00BD7986"/>
    <w:rsid w:val="00BD79D3"/>
    <w:rsid w:val="00C04F82"/>
    <w:rsid w:val="00C15AC0"/>
    <w:rsid w:val="00C25FAB"/>
    <w:rsid w:val="00C26030"/>
    <w:rsid w:val="00C349D4"/>
    <w:rsid w:val="00C41091"/>
    <w:rsid w:val="00C55EA5"/>
    <w:rsid w:val="00C6065E"/>
    <w:rsid w:val="00C63056"/>
    <w:rsid w:val="00C641F0"/>
    <w:rsid w:val="00C661D1"/>
    <w:rsid w:val="00C733F7"/>
    <w:rsid w:val="00C7703A"/>
    <w:rsid w:val="00C775BA"/>
    <w:rsid w:val="00C8078C"/>
    <w:rsid w:val="00C85331"/>
    <w:rsid w:val="00C85A50"/>
    <w:rsid w:val="00C87AC9"/>
    <w:rsid w:val="00C94D46"/>
    <w:rsid w:val="00CA2E99"/>
    <w:rsid w:val="00CA443A"/>
    <w:rsid w:val="00CB2461"/>
    <w:rsid w:val="00CB37FD"/>
    <w:rsid w:val="00CC4D65"/>
    <w:rsid w:val="00CC61E7"/>
    <w:rsid w:val="00CD25AD"/>
    <w:rsid w:val="00CD3FFC"/>
    <w:rsid w:val="00CD570A"/>
    <w:rsid w:val="00CE6A6A"/>
    <w:rsid w:val="00CE6FD6"/>
    <w:rsid w:val="00CF565C"/>
    <w:rsid w:val="00D016A3"/>
    <w:rsid w:val="00D046FE"/>
    <w:rsid w:val="00D07CEA"/>
    <w:rsid w:val="00D10B8C"/>
    <w:rsid w:val="00D50CC5"/>
    <w:rsid w:val="00D512E3"/>
    <w:rsid w:val="00D602C9"/>
    <w:rsid w:val="00D87053"/>
    <w:rsid w:val="00D92725"/>
    <w:rsid w:val="00DA26A9"/>
    <w:rsid w:val="00DB01FF"/>
    <w:rsid w:val="00DC7778"/>
    <w:rsid w:val="00DE7391"/>
    <w:rsid w:val="00DF2DB5"/>
    <w:rsid w:val="00DF6560"/>
    <w:rsid w:val="00E04CC0"/>
    <w:rsid w:val="00E136FF"/>
    <w:rsid w:val="00E32528"/>
    <w:rsid w:val="00E35F26"/>
    <w:rsid w:val="00E53165"/>
    <w:rsid w:val="00E61EF7"/>
    <w:rsid w:val="00E65B87"/>
    <w:rsid w:val="00E663B4"/>
    <w:rsid w:val="00E80CEB"/>
    <w:rsid w:val="00E847ED"/>
    <w:rsid w:val="00EA5103"/>
    <w:rsid w:val="00EA6FB9"/>
    <w:rsid w:val="00EB5E6A"/>
    <w:rsid w:val="00EC2AD7"/>
    <w:rsid w:val="00EC3A39"/>
    <w:rsid w:val="00ED7DE0"/>
    <w:rsid w:val="00EE5AFD"/>
    <w:rsid w:val="00EE7891"/>
    <w:rsid w:val="00EF49FE"/>
    <w:rsid w:val="00EF5341"/>
    <w:rsid w:val="00F04908"/>
    <w:rsid w:val="00F07C21"/>
    <w:rsid w:val="00F12EF6"/>
    <w:rsid w:val="00F14E2F"/>
    <w:rsid w:val="00F161E6"/>
    <w:rsid w:val="00F21065"/>
    <w:rsid w:val="00F24CB4"/>
    <w:rsid w:val="00F43465"/>
    <w:rsid w:val="00F45475"/>
    <w:rsid w:val="00F64E72"/>
    <w:rsid w:val="00F70C7D"/>
    <w:rsid w:val="00F9272E"/>
    <w:rsid w:val="00F97743"/>
    <w:rsid w:val="00FA6DAF"/>
    <w:rsid w:val="00FB5D0F"/>
    <w:rsid w:val="00FC6884"/>
    <w:rsid w:val="00FE343F"/>
    <w:rsid w:val="00FE62F3"/>
    <w:rsid w:val="00FF212C"/>
    <w:rsid w:val="00FF71D2"/>
    <w:rsid w:val="1B2418A5"/>
    <w:rsid w:val="1FBFC074"/>
    <w:rsid w:val="23D0618C"/>
    <w:rsid w:val="36FB9E1F"/>
    <w:rsid w:val="3BFA3B96"/>
    <w:rsid w:val="3CEF3472"/>
    <w:rsid w:val="3EFF16E9"/>
    <w:rsid w:val="58496337"/>
    <w:rsid w:val="77CF73AC"/>
    <w:rsid w:val="78FF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783A95"/>
  <w15:docId w15:val="{063D2E4A-EC62-4909-B5A8-9ECD7D978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1">
    <w:name w:val="Char Char Char1"/>
    <w:basedOn w:val="a"/>
    <w:qFormat/>
  </w:style>
  <w:style w:type="character" w:customStyle="1" w:styleId="a5">
    <w:name w:val="页脚 字符"/>
    <w:basedOn w:val="a0"/>
    <w:link w:val="a4"/>
    <w:qFormat/>
    <w:rPr>
      <w:kern w:val="2"/>
      <w:sz w:val="18"/>
      <w:szCs w:val="18"/>
    </w:rPr>
  </w:style>
  <w:style w:type="character" w:customStyle="1" w:styleId="a7">
    <w:name w:val="页眉 字符"/>
    <w:basedOn w:val="a0"/>
    <w:link w:val="a6"/>
    <w:qFormat/>
    <w:rPr>
      <w:kern w:val="2"/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kern w:val="2"/>
      <w:sz w:val="21"/>
      <w:szCs w:val="24"/>
    </w:rPr>
  </w:style>
  <w:style w:type="character" w:styleId="a8">
    <w:name w:val="annotation reference"/>
    <w:basedOn w:val="a0"/>
    <w:rPr>
      <w:sz w:val="21"/>
      <w:szCs w:val="21"/>
    </w:rPr>
  </w:style>
  <w:style w:type="paragraph" w:styleId="a9">
    <w:name w:val="Revision"/>
    <w:hidden/>
    <w:uiPriority w:val="99"/>
    <w:unhideWhenUsed/>
    <w:rsid w:val="00BD29D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497</Words>
  <Characters>2838</Characters>
  <Application>Microsoft Office Word</Application>
  <DocSecurity>0</DocSecurity>
  <Lines>23</Lines>
  <Paragraphs>6</Paragraphs>
  <ScaleCrop>false</ScaleCrop>
  <Company>微软中国</Company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lm zeng</cp:lastModifiedBy>
  <cp:revision>3</cp:revision>
  <cp:lastPrinted>2026-09-21T04:44:00Z</cp:lastPrinted>
  <dcterms:created xsi:type="dcterms:W3CDTF">2026-09-21T04:50:00Z</dcterms:created>
  <dcterms:modified xsi:type="dcterms:W3CDTF">2026-09-21T06:15:00Z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3378DF92D5494EA79182626F58817F75</vt:lpwstr>
  </property>
  <property fmtid="{D5CDD505-2E9C-101B-9397-08002B2CF9AE}" pid="4" name="KSOTemplateDocerSaveRecord">
    <vt:lpwstr>eyJoZGlkIjoiM2IzNWIyMjJjNzUzZjAzNDU0NzUwNTNhN2M2MmJkMTkiLCJ1c2VySWQiOiIzNTI1MjA5NzEifQ==</vt:lpwstr>
  </property>
</Properties>
</file>