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08F5B">
      <w:pPr>
        <w:spacing w:line="360" w:lineRule="auto"/>
        <w:jc w:val="left"/>
        <w:rPr>
          <w:rFonts w:ascii="Times New Roman" w:hAnsi="Times New Roman" w:eastAsia="宋体"/>
          <w:sz w:val="24"/>
          <w:szCs w:val="24"/>
        </w:rPr>
      </w:pPr>
      <w:r>
        <w:rPr>
          <w:rFonts w:hint="eastAsia" w:ascii="Times New Roman" w:hAnsi="Times New Roman" w:eastAsia="宋体"/>
          <w:sz w:val="24"/>
          <w:szCs w:val="24"/>
        </w:rPr>
        <w:t>证券代码：</w:t>
      </w:r>
      <w:r>
        <w:rPr>
          <w:rFonts w:ascii="Times New Roman" w:hAnsi="Times New Roman" w:eastAsia="宋体"/>
          <w:sz w:val="24"/>
          <w:szCs w:val="24"/>
        </w:rPr>
        <w:t>603288</w:t>
      </w:r>
      <w:r>
        <w:rPr>
          <w:rFonts w:hint="eastAsia" w:ascii="Times New Roman" w:hAnsi="Times New Roman" w:eastAsia="宋体"/>
          <w:sz w:val="24"/>
          <w:szCs w:val="24"/>
        </w:rPr>
        <w:t xml:space="preserve">                      </w:t>
      </w:r>
      <w:r>
        <w:rPr>
          <w:rFonts w:ascii="Times New Roman" w:hAnsi="Times New Roman" w:eastAsia="宋体"/>
          <w:sz w:val="24"/>
          <w:szCs w:val="24"/>
        </w:rPr>
        <w:t xml:space="preserve">             </w:t>
      </w:r>
      <w:r>
        <w:rPr>
          <w:rFonts w:hint="eastAsia" w:ascii="Times New Roman" w:hAnsi="Times New Roman" w:eastAsia="宋体"/>
          <w:sz w:val="24"/>
          <w:szCs w:val="24"/>
        </w:rPr>
        <w:t>公司简称：</w:t>
      </w:r>
      <w:r>
        <w:rPr>
          <w:rFonts w:ascii="Times New Roman" w:hAnsi="Times New Roman" w:eastAsia="宋体"/>
          <w:sz w:val="24"/>
          <w:szCs w:val="24"/>
        </w:rPr>
        <w:t>海天味业</w:t>
      </w:r>
    </w:p>
    <w:p w14:paraId="4C887930">
      <w:pPr>
        <w:spacing w:line="360" w:lineRule="auto"/>
        <w:jc w:val="center"/>
        <w:rPr>
          <w:rFonts w:ascii="Times New Roman" w:hAnsi="Times New Roman" w:eastAsia="宋体"/>
          <w:b/>
          <w:bCs/>
          <w:sz w:val="32"/>
          <w:szCs w:val="32"/>
        </w:rPr>
      </w:pPr>
      <w:r>
        <w:rPr>
          <w:rFonts w:hint="eastAsia" w:ascii="Times New Roman" w:hAnsi="Times New Roman" w:eastAsia="宋体"/>
          <w:b/>
          <w:bCs/>
          <w:sz w:val="32"/>
          <w:szCs w:val="32"/>
        </w:rPr>
        <w:t>佛山市海天调味食品股份有限公司投资者关系活动记录表</w:t>
      </w:r>
    </w:p>
    <w:p w14:paraId="2A9E0C31">
      <w:pPr>
        <w:jc w:val="center"/>
        <w:rPr>
          <w:rFonts w:ascii="Times New Roman" w:hAnsi="Times New Roman" w:eastAsia="宋体"/>
          <w:sz w:val="24"/>
          <w:szCs w:val="24"/>
        </w:rPr>
      </w:pPr>
    </w:p>
    <w:p w14:paraId="0C4680E8">
      <w:pPr>
        <w:jc w:val="right"/>
        <w:rPr>
          <w:rFonts w:ascii="Times New Roman" w:hAnsi="Times New Roman" w:eastAsia="宋体"/>
          <w:sz w:val="24"/>
          <w:szCs w:val="24"/>
        </w:rPr>
      </w:pPr>
      <w:r>
        <w:rPr>
          <w:rFonts w:hint="eastAsia" w:ascii="Times New Roman" w:hAnsi="Times New Roman" w:eastAsia="宋体"/>
          <w:sz w:val="24"/>
          <w:szCs w:val="24"/>
        </w:rPr>
        <w:t>编号：</w:t>
      </w:r>
      <w:r>
        <w:rPr>
          <w:rFonts w:ascii="Times New Roman" w:hAnsi="Times New Roman" w:eastAsia="宋体"/>
          <w:sz w:val="24"/>
          <w:szCs w:val="24"/>
        </w:rPr>
        <w:t>20260921</w:t>
      </w:r>
    </w:p>
    <w:tbl>
      <w:tblPr>
        <w:tblStyle w:val="5"/>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7191"/>
      </w:tblGrid>
      <w:tr w14:paraId="4D4CF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shd w:val="clear" w:color="auto" w:fill="auto"/>
            <w:vAlign w:val="center"/>
          </w:tcPr>
          <w:p w14:paraId="07CBF43D">
            <w:pPr>
              <w:spacing w:line="360" w:lineRule="auto"/>
              <w:jc w:val="left"/>
              <w:rPr>
                <w:rFonts w:ascii="Times New Roman" w:hAnsi="Times New Roman" w:eastAsia="宋体"/>
                <w:sz w:val="24"/>
                <w:szCs w:val="24"/>
              </w:rPr>
            </w:pPr>
            <w:r>
              <w:rPr>
                <w:rFonts w:hint="eastAsia" w:ascii="Times New Roman" w:hAnsi="Times New Roman" w:eastAsia="宋体"/>
                <w:sz w:val="24"/>
                <w:szCs w:val="24"/>
              </w:rPr>
              <w:t>投资者关系活动类别</w:t>
            </w:r>
          </w:p>
        </w:tc>
        <w:tc>
          <w:tcPr>
            <w:tcW w:w="7191" w:type="dxa"/>
            <w:shd w:val="clear" w:color="auto" w:fill="auto"/>
            <w:vAlign w:val="center"/>
          </w:tcPr>
          <w:p w14:paraId="3665853A">
            <w:pPr>
              <w:spacing w:line="360" w:lineRule="auto"/>
              <w:rPr>
                <w:rFonts w:ascii="Times New Roman" w:hAnsi="Times New Roman" w:eastAsia="宋体" w:cs="宋体"/>
                <w:sz w:val="24"/>
                <w:szCs w:val="24"/>
              </w:rPr>
            </w:pPr>
            <w:r>
              <w:rPr>
                <w:rFonts w:hint="eastAsia" w:ascii="Times New Roman" w:hAnsi="Times New Roman" w:eastAsia="宋体" w:cs="宋体"/>
                <w:sz w:val="24"/>
                <w:szCs w:val="24"/>
              </w:rPr>
              <w:t xml:space="preserve">□特定对象调研 </w:t>
            </w:r>
            <w:r>
              <w:rPr>
                <w:rFonts w:ascii="Times New Roman" w:hAnsi="Times New Roman" w:eastAsia="宋体" w:cs="宋体"/>
                <w:sz w:val="24"/>
                <w:szCs w:val="24"/>
              </w:rPr>
              <w:t xml:space="preserve">   </w:t>
            </w:r>
            <w:r>
              <w:rPr>
                <w:rFonts w:hint="eastAsia" w:ascii="Times New Roman" w:hAnsi="Times New Roman" w:eastAsia="宋体" w:cs="宋体"/>
                <w:sz w:val="24"/>
                <w:szCs w:val="24"/>
              </w:rPr>
              <w:t xml:space="preserve">□分析师会议 </w:t>
            </w:r>
          </w:p>
          <w:p w14:paraId="6FB4DD55">
            <w:pPr>
              <w:spacing w:line="360" w:lineRule="auto"/>
              <w:rPr>
                <w:rFonts w:ascii="Times New Roman" w:hAnsi="Times New Roman" w:eastAsia="宋体" w:cs="宋体"/>
                <w:sz w:val="24"/>
                <w:szCs w:val="24"/>
              </w:rPr>
            </w:pPr>
            <w:r>
              <w:rPr>
                <w:rFonts w:hint="eastAsia" w:ascii="Times New Roman" w:hAnsi="Times New Roman" w:eastAsia="宋体" w:cs="宋体"/>
                <w:sz w:val="24"/>
                <w:szCs w:val="24"/>
              </w:rPr>
              <w:t xml:space="preserve">□媒体采访 </w:t>
            </w:r>
            <w:r>
              <w:rPr>
                <w:rFonts w:ascii="Times New Roman" w:hAnsi="Times New Roman" w:eastAsia="宋体" w:cs="宋体"/>
                <w:sz w:val="24"/>
                <w:szCs w:val="24"/>
              </w:rPr>
              <w:t xml:space="preserve">       </w:t>
            </w:r>
            <w:r>
              <w:rPr>
                <w:rFonts w:hint="eastAsia" w:ascii="Times New Roman" w:hAnsi="Times New Roman" w:eastAsia="宋体" w:cs="宋体"/>
                <w:sz w:val="24"/>
                <w:szCs w:val="24"/>
              </w:rPr>
              <w:t xml:space="preserve">■业绩说明会 </w:t>
            </w:r>
          </w:p>
          <w:p w14:paraId="089BE8DD">
            <w:pPr>
              <w:spacing w:line="360" w:lineRule="auto"/>
              <w:rPr>
                <w:rFonts w:ascii="Times New Roman" w:hAnsi="Times New Roman" w:eastAsia="宋体" w:cs="宋体"/>
                <w:sz w:val="24"/>
                <w:szCs w:val="24"/>
              </w:rPr>
            </w:pPr>
            <w:r>
              <w:rPr>
                <w:rFonts w:hint="eastAsia" w:ascii="Times New Roman" w:hAnsi="Times New Roman" w:eastAsia="宋体" w:cs="宋体"/>
                <w:sz w:val="24"/>
                <w:szCs w:val="24"/>
              </w:rPr>
              <w:t xml:space="preserve">□新闻发布会 </w:t>
            </w:r>
            <w:r>
              <w:rPr>
                <w:rFonts w:ascii="Times New Roman" w:hAnsi="Times New Roman" w:eastAsia="宋体" w:cs="宋体"/>
                <w:sz w:val="24"/>
                <w:szCs w:val="24"/>
              </w:rPr>
              <w:t xml:space="preserve">     </w:t>
            </w:r>
            <w:r>
              <w:rPr>
                <w:rFonts w:hint="eastAsia" w:ascii="Times New Roman" w:hAnsi="Times New Roman" w:eastAsia="宋体" w:cs="宋体"/>
                <w:sz w:val="24"/>
                <w:szCs w:val="24"/>
              </w:rPr>
              <w:t xml:space="preserve">□路演活动 </w:t>
            </w:r>
          </w:p>
          <w:p w14:paraId="604117D0">
            <w:pPr>
              <w:spacing w:line="360" w:lineRule="auto"/>
              <w:rPr>
                <w:rFonts w:ascii="Times New Roman" w:hAnsi="Times New Roman" w:eastAsia="宋体" w:cs="宋体"/>
                <w:sz w:val="24"/>
                <w:szCs w:val="24"/>
              </w:rPr>
            </w:pPr>
            <w:r>
              <w:rPr>
                <w:rFonts w:hint="eastAsia" w:ascii="Times New Roman" w:hAnsi="Times New Roman" w:eastAsia="宋体" w:cs="宋体"/>
                <w:sz w:val="24"/>
                <w:szCs w:val="24"/>
              </w:rPr>
              <w:t xml:space="preserve">□现场参观 </w:t>
            </w:r>
            <w:r>
              <w:rPr>
                <w:rFonts w:ascii="Times New Roman" w:hAnsi="Times New Roman" w:eastAsia="宋体" w:cs="宋体"/>
                <w:sz w:val="24"/>
                <w:szCs w:val="24"/>
              </w:rPr>
              <w:t xml:space="preserve">       </w:t>
            </w:r>
            <w:r>
              <w:rPr>
                <w:rFonts w:hint="eastAsia" w:ascii="Times New Roman" w:hAnsi="Times New Roman" w:eastAsia="宋体" w:cs="宋体"/>
                <w:sz w:val="24"/>
                <w:szCs w:val="24"/>
              </w:rPr>
              <w:t xml:space="preserve">□电话会议 </w:t>
            </w:r>
          </w:p>
          <w:p w14:paraId="3C3B62E0">
            <w:pPr>
              <w:spacing w:line="360" w:lineRule="auto"/>
              <w:rPr>
                <w:rFonts w:ascii="Times New Roman" w:hAnsi="Times New Roman" w:eastAsia="宋体"/>
                <w:sz w:val="24"/>
                <w:szCs w:val="24"/>
              </w:rPr>
            </w:pPr>
            <w:r>
              <w:rPr>
                <w:rFonts w:hint="eastAsia" w:ascii="Times New Roman" w:hAnsi="Times New Roman" w:eastAsia="宋体" w:cs="宋体"/>
                <w:sz w:val="24"/>
                <w:szCs w:val="24"/>
              </w:rPr>
              <w:t>□其他 （请文字说明其他活动内容）</w:t>
            </w:r>
          </w:p>
        </w:tc>
      </w:tr>
      <w:tr w14:paraId="73B33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shd w:val="clear" w:color="auto" w:fill="auto"/>
            <w:vAlign w:val="center"/>
          </w:tcPr>
          <w:p w14:paraId="1D8BEF24">
            <w:pPr>
              <w:spacing w:line="360" w:lineRule="auto"/>
              <w:jc w:val="left"/>
              <w:rPr>
                <w:rFonts w:ascii="Times New Roman" w:hAnsi="Times New Roman" w:eastAsia="宋体"/>
                <w:sz w:val="24"/>
                <w:szCs w:val="24"/>
              </w:rPr>
            </w:pPr>
            <w:r>
              <w:rPr>
                <w:rFonts w:hint="eastAsia" w:ascii="Times New Roman" w:hAnsi="Times New Roman" w:eastAsia="宋体"/>
                <w:sz w:val="24"/>
                <w:szCs w:val="24"/>
              </w:rPr>
              <w:t>活动主题</w:t>
            </w:r>
          </w:p>
        </w:tc>
        <w:tc>
          <w:tcPr>
            <w:tcW w:w="7191" w:type="dxa"/>
            <w:shd w:val="clear" w:color="auto" w:fill="auto"/>
            <w:vAlign w:val="center"/>
          </w:tcPr>
          <w:p w14:paraId="1C61EC4E">
            <w:pPr>
              <w:spacing w:line="360" w:lineRule="auto"/>
              <w:rPr>
                <w:rFonts w:ascii="Times New Roman" w:hAnsi="Times New Roman" w:eastAsia="宋体"/>
                <w:sz w:val="24"/>
                <w:szCs w:val="24"/>
              </w:rPr>
            </w:pPr>
            <w:r>
              <w:rPr>
                <w:rFonts w:hint="eastAsia" w:ascii="Times New Roman" w:hAnsi="Times New Roman" w:eastAsia="宋体" w:cs="宋体"/>
                <w:bCs/>
                <w:iCs/>
                <w:color w:val="000000"/>
                <w:sz w:val="24"/>
                <w:lang w:val="en-GB"/>
              </w:rPr>
              <w:t>海天味业202</w:t>
            </w:r>
            <w:r>
              <w:rPr>
                <w:rFonts w:ascii="Times New Roman" w:hAnsi="Times New Roman" w:eastAsia="宋体" w:cs="宋体"/>
                <w:bCs/>
                <w:iCs/>
                <w:color w:val="000000"/>
                <w:sz w:val="24"/>
                <w:lang w:val="en-GB"/>
              </w:rPr>
              <w:t>6</w:t>
            </w:r>
            <w:r>
              <w:rPr>
                <w:rFonts w:hint="eastAsia" w:ascii="Times New Roman" w:hAnsi="Times New Roman" w:eastAsia="宋体" w:cs="宋体"/>
                <w:bCs/>
                <w:iCs/>
                <w:color w:val="000000"/>
                <w:sz w:val="24"/>
                <w:lang w:val="en-GB"/>
              </w:rPr>
              <w:t>年半年度业绩说明会</w:t>
            </w:r>
          </w:p>
        </w:tc>
      </w:tr>
      <w:tr w14:paraId="7D170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526" w:type="dxa"/>
            <w:shd w:val="clear" w:color="auto" w:fill="auto"/>
            <w:vAlign w:val="center"/>
          </w:tcPr>
          <w:p w14:paraId="3D507846">
            <w:pPr>
              <w:spacing w:line="360" w:lineRule="auto"/>
              <w:jc w:val="left"/>
              <w:rPr>
                <w:rFonts w:ascii="Times New Roman" w:hAnsi="Times New Roman" w:eastAsia="宋体"/>
                <w:sz w:val="24"/>
                <w:szCs w:val="24"/>
              </w:rPr>
            </w:pPr>
            <w:r>
              <w:rPr>
                <w:rFonts w:hint="eastAsia" w:ascii="Times New Roman" w:hAnsi="Times New Roman" w:eastAsia="宋体"/>
                <w:sz w:val="24"/>
                <w:szCs w:val="24"/>
              </w:rPr>
              <w:t>时间</w:t>
            </w:r>
          </w:p>
        </w:tc>
        <w:tc>
          <w:tcPr>
            <w:tcW w:w="7191" w:type="dxa"/>
            <w:shd w:val="clear" w:color="auto" w:fill="auto"/>
            <w:vAlign w:val="center"/>
          </w:tcPr>
          <w:p w14:paraId="5322E77A">
            <w:pPr>
              <w:spacing w:line="360" w:lineRule="auto"/>
              <w:rPr>
                <w:rFonts w:ascii="Times New Roman" w:hAnsi="Times New Roman" w:eastAsia="宋体"/>
                <w:sz w:val="24"/>
                <w:szCs w:val="24"/>
              </w:rPr>
            </w:pPr>
            <w:r>
              <w:rPr>
                <w:rFonts w:hint="eastAsia" w:ascii="Times New Roman" w:hAnsi="Times New Roman" w:eastAsia="宋体" w:cs="宋体"/>
                <w:bCs/>
                <w:iCs/>
                <w:color w:val="000000"/>
                <w:sz w:val="24"/>
              </w:rPr>
              <w:t>202</w:t>
            </w:r>
            <w:r>
              <w:rPr>
                <w:rFonts w:ascii="Times New Roman" w:hAnsi="Times New Roman" w:eastAsia="宋体" w:cs="宋体"/>
                <w:bCs/>
                <w:iCs/>
                <w:color w:val="000000"/>
                <w:sz w:val="24"/>
              </w:rPr>
              <w:t>6</w:t>
            </w:r>
            <w:r>
              <w:rPr>
                <w:rFonts w:hint="eastAsia" w:ascii="Times New Roman" w:hAnsi="Times New Roman" w:eastAsia="宋体" w:cs="宋体"/>
                <w:bCs/>
                <w:iCs/>
                <w:color w:val="000000"/>
                <w:sz w:val="24"/>
              </w:rPr>
              <w:t>年9月21日13:00-</w:t>
            </w:r>
            <w:r>
              <w:rPr>
                <w:rFonts w:ascii="Times New Roman" w:hAnsi="Times New Roman" w:eastAsia="宋体" w:cs="宋体"/>
                <w:bCs/>
                <w:iCs/>
                <w:color w:val="000000"/>
                <w:sz w:val="24"/>
              </w:rPr>
              <w:t>14</w:t>
            </w:r>
            <w:r>
              <w:rPr>
                <w:rFonts w:hint="eastAsia" w:ascii="Times New Roman" w:hAnsi="Times New Roman" w:eastAsia="宋体" w:cs="宋体"/>
                <w:bCs/>
                <w:iCs/>
                <w:color w:val="000000"/>
                <w:sz w:val="24"/>
              </w:rPr>
              <w:t>:</w:t>
            </w:r>
            <w:r>
              <w:rPr>
                <w:rFonts w:ascii="Times New Roman" w:hAnsi="Times New Roman" w:eastAsia="宋体" w:cs="宋体"/>
                <w:bCs/>
                <w:iCs/>
                <w:color w:val="000000"/>
                <w:sz w:val="24"/>
              </w:rPr>
              <w:t>00</w:t>
            </w:r>
          </w:p>
        </w:tc>
      </w:tr>
      <w:tr w14:paraId="270E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shd w:val="clear" w:color="auto" w:fill="auto"/>
            <w:vAlign w:val="center"/>
          </w:tcPr>
          <w:p w14:paraId="77C8566B">
            <w:pPr>
              <w:spacing w:line="360" w:lineRule="auto"/>
              <w:jc w:val="left"/>
              <w:rPr>
                <w:rFonts w:ascii="Times New Roman" w:hAnsi="Times New Roman" w:eastAsia="宋体"/>
                <w:sz w:val="24"/>
                <w:szCs w:val="24"/>
              </w:rPr>
            </w:pPr>
            <w:r>
              <w:rPr>
                <w:rFonts w:hint="eastAsia" w:ascii="Times New Roman" w:hAnsi="Times New Roman" w:eastAsia="宋体"/>
                <w:sz w:val="24"/>
                <w:szCs w:val="24"/>
              </w:rPr>
              <w:t>地点/方式</w:t>
            </w:r>
          </w:p>
        </w:tc>
        <w:tc>
          <w:tcPr>
            <w:tcW w:w="7191" w:type="dxa"/>
            <w:shd w:val="clear" w:color="auto" w:fill="auto"/>
          </w:tcPr>
          <w:p w14:paraId="5BA83AEF">
            <w:pPr>
              <w:spacing w:line="360" w:lineRule="auto"/>
              <w:rPr>
                <w:rFonts w:ascii="Times New Roman" w:hAnsi="Times New Roman" w:eastAsia="宋体"/>
                <w:bCs/>
                <w:sz w:val="24"/>
              </w:rPr>
            </w:pPr>
            <w:r>
              <w:rPr>
                <w:rFonts w:hint="eastAsia" w:ascii="Times New Roman" w:hAnsi="Times New Roman" w:eastAsia="宋体"/>
                <w:bCs/>
                <w:sz w:val="24"/>
              </w:rPr>
              <w:t xml:space="preserve">上证路演中心 </w:t>
            </w:r>
            <w:r>
              <w:rPr>
                <w:rFonts w:ascii="Times New Roman" w:hAnsi="Times New Roman" w:eastAsia="宋体"/>
              </w:rPr>
              <w:fldChar w:fldCharType="begin"/>
            </w:r>
            <w:r>
              <w:rPr>
                <w:rFonts w:ascii="Times New Roman" w:hAnsi="Times New Roman" w:eastAsia="宋体"/>
              </w:rPr>
              <w:instrText xml:space="preserve"> HYPERLINK "https://roadshow.sseinfo.com" </w:instrText>
            </w:r>
            <w:r>
              <w:rPr>
                <w:rFonts w:ascii="Times New Roman" w:hAnsi="Times New Roman" w:eastAsia="宋体"/>
              </w:rPr>
              <w:fldChar w:fldCharType="separate"/>
            </w:r>
            <w:r>
              <w:rPr>
                <w:rStyle w:val="8"/>
                <w:rFonts w:hint="eastAsia" w:ascii="Times New Roman" w:hAnsi="Times New Roman" w:eastAsia="宋体"/>
                <w:bCs/>
                <w:sz w:val="24"/>
              </w:rPr>
              <w:t>https://roadshow.sseinfo.com</w:t>
            </w:r>
            <w:r>
              <w:rPr>
                <w:rStyle w:val="8"/>
                <w:rFonts w:hint="eastAsia" w:ascii="Times New Roman" w:hAnsi="Times New Roman" w:eastAsia="宋体"/>
                <w:bCs/>
                <w:sz w:val="24"/>
              </w:rPr>
              <w:fldChar w:fldCharType="end"/>
            </w:r>
          </w:p>
          <w:p w14:paraId="5FE9CA99">
            <w:pPr>
              <w:spacing w:line="360" w:lineRule="auto"/>
              <w:rPr>
                <w:rFonts w:ascii="Times New Roman" w:hAnsi="Times New Roman" w:eastAsia="宋体"/>
                <w:sz w:val="24"/>
                <w:szCs w:val="24"/>
              </w:rPr>
            </w:pPr>
            <w:r>
              <w:rPr>
                <w:rFonts w:hint="eastAsia" w:ascii="Times New Roman" w:hAnsi="Times New Roman" w:eastAsia="宋体"/>
                <w:bCs/>
                <w:sz w:val="24"/>
              </w:rPr>
              <w:t>网络互动</w:t>
            </w:r>
          </w:p>
        </w:tc>
      </w:tr>
      <w:tr w14:paraId="242C3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shd w:val="clear" w:color="auto" w:fill="auto"/>
            <w:vAlign w:val="center"/>
          </w:tcPr>
          <w:p w14:paraId="68A22003">
            <w:pPr>
              <w:spacing w:line="360" w:lineRule="auto"/>
              <w:jc w:val="left"/>
              <w:rPr>
                <w:rFonts w:ascii="Times New Roman" w:hAnsi="Times New Roman" w:eastAsia="宋体"/>
                <w:sz w:val="24"/>
                <w:szCs w:val="24"/>
              </w:rPr>
            </w:pPr>
            <w:r>
              <w:rPr>
                <w:rFonts w:hint="eastAsia" w:ascii="Times New Roman" w:hAnsi="Times New Roman" w:eastAsia="宋体"/>
                <w:sz w:val="24"/>
                <w:szCs w:val="24"/>
              </w:rPr>
              <w:t>参会人员</w:t>
            </w:r>
          </w:p>
        </w:tc>
        <w:tc>
          <w:tcPr>
            <w:tcW w:w="7191" w:type="dxa"/>
            <w:shd w:val="clear" w:color="auto" w:fill="auto"/>
            <w:vAlign w:val="center"/>
          </w:tcPr>
          <w:p w14:paraId="2EB300A3">
            <w:pPr>
              <w:spacing w:line="360" w:lineRule="auto"/>
              <w:rPr>
                <w:rFonts w:ascii="Times New Roman" w:hAnsi="Times New Roman" w:eastAsia="宋体"/>
                <w:sz w:val="24"/>
                <w:szCs w:val="24"/>
              </w:rPr>
            </w:pPr>
            <w:r>
              <w:rPr>
                <w:rFonts w:hint="eastAsia" w:ascii="Times New Roman" w:hAnsi="Times New Roman" w:eastAsia="宋体" w:cs="宋体"/>
                <w:sz w:val="24"/>
                <w:szCs w:val="24"/>
              </w:rPr>
              <w:t>董事兼总裁：管江华；财务负责人：李军；董事会秘书：柯莹；独立董事：张科春</w:t>
            </w:r>
          </w:p>
        </w:tc>
      </w:tr>
      <w:tr w14:paraId="4025B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526" w:type="dxa"/>
            <w:shd w:val="clear" w:color="auto" w:fill="auto"/>
            <w:vAlign w:val="center"/>
          </w:tcPr>
          <w:p w14:paraId="4F2512FC">
            <w:pPr>
              <w:spacing w:line="360" w:lineRule="auto"/>
              <w:rPr>
                <w:rFonts w:ascii="Times New Roman" w:hAnsi="Times New Roman" w:eastAsia="宋体"/>
                <w:sz w:val="24"/>
                <w:szCs w:val="24"/>
              </w:rPr>
            </w:pPr>
            <w:r>
              <w:rPr>
                <w:rFonts w:hint="eastAsia" w:ascii="Times New Roman" w:hAnsi="Times New Roman" w:eastAsia="宋体"/>
                <w:sz w:val="24"/>
                <w:szCs w:val="24"/>
              </w:rPr>
              <w:t>投资者关系活动主要内容介绍</w:t>
            </w:r>
          </w:p>
        </w:tc>
        <w:tc>
          <w:tcPr>
            <w:tcW w:w="7191" w:type="dxa"/>
            <w:shd w:val="clear" w:color="auto" w:fill="auto"/>
          </w:tcPr>
          <w:p w14:paraId="2001DFC0">
            <w:pPr>
              <w:spacing w:before="156" w:beforeLines="50" w:line="360" w:lineRule="auto"/>
              <w:jc w:val="center"/>
              <w:rPr>
                <w:rFonts w:hint="eastAsia" w:ascii="Times New Roman" w:hAnsi="Times New Roman" w:eastAsia="宋体"/>
                <w:b/>
                <w:sz w:val="24"/>
              </w:rPr>
            </w:pPr>
            <w:r>
              <w:rPr>
                <w:rFonts w:hint="eastAsia" w:ascii="Times New Roman" w:hAnsi="Times New Roman" w:eastAsia="宋体"/>
                <w:b/>
                <w:sz w:val="24"/>
              </w:rPr>
              <w:t>投资者关系活动主要内容</w:t>
            </w:r>
          </w:p>
          <w:p w14:paraId="09C656D6">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1、如何看待醋的市场，是否会在江苏与恒顺醋业进行直面竞争？2、请问公司在并购上还有哪些举措？</w:t>
            </w:r>
          </w:p>
          <w:p w14:paraId="7A459A4A">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1. 食醋作为我国传统特色调味品，其消费习惯与风味偏好具有地域差异特征。为满足不同地域、不同场景消费者对醋类产品的需求，我们坚持打造高质价比的醋类产品，目前已形成了丰富多元的醋类产品体系。江苏是调味品重要市场之一，公司会基于自身产品和渠道优势开展经营。</w:t>
            </w:r>
          </w:p>
          <w:p w14:paraId="4FB4EF93">
            <w:pPr>
              <w:spacing w:line="360" w:lineRule="auto"/>
              <w:rPr>
                <w:rFonts w:ascii="Times New Roman" w:hAnsi="Times New Roman" w:eastAsia="宋体"/>
                <w:sz w:val="24"/>
              </w:rPr>
            </w:pPr>
            <w:r>
              <w:rPr>
                <w:rFonts w:ascii="Times New Roman" w:hAnsi="Times New Roman" w:eastAsia="宋体"/>
                <w:sz w:val="24"/>
              </w:rPr>
              <w:t>2. 公司重视并购的协同效应，坚持审慎评估推进项目，通过协同方式实现共赢。</w:t>
            </w:r>
          </w:p>
          <w:p w14:paraId="33E50DF7">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2026年上半年公司实现营收161.46亿元（同比增长6.01%），归母净利润41.90亿元（同比增长7.13%），但二季度单季营收增速已放缓至2.93%，扣非归母净利润同比下降3.39%。请问管理层如何评估下半年宏观餐饮需求疲软对公司B端基本盘的冲击？公司有何针对性的经营举措来提振下半年的整体增速？</w:t>
            </w:r>
          </w:p>
          <w:p w14:paraId="05DF12DE">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调味品具有悠久的发展历史和刚需特性，行业总需求保持稳健，餐饮行业亦有较多结构性与差异化机会。公司会继续坚持固本强基和固本培优双发展：一方面守住传统核心品类和渠道基本盘，夯实供应链、品牌和终端运营；另一方面积极培育健康化、复合化、定制化等新赛道，优化产品结构和增长质量。</w:t>
            </w:r>
          </w:p>
          <w:p w14:paraId="725E3614">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公司承诺2025-2027年现金分红比率不低于80%，且2025年分红率高达112.95%。在当前公司总资产和净资产较年初均有所下滑的背景下，未来三年公司是否会继续保持这一超高分红比例，以持续回馈中小股东？</w:t>
            </w:r>
          </w:p>
          <w:p w14:paraId="2539B9E4">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公司将按照股东回报规划的公告内容，保障2025-2027年现金分红比率不低于80%，最终分红比率将以董事会和股东会审议为准。公司始终高度重视股东回报，未来将继续做好自身经营，并通过分红、回购等多元方式持续回馈中小股东。</w:t>
            </w:r>
          </w:p>
          <w:p w14:paraId="04781F27">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公司近期启动了A+H股双市场回购计划，其中A股拟回购10-20亿元且70%以上用于注销。请问目前A股回购的具体执行进度如何？在当前估值水平下，公司是否认为当前股价已充分反映了公司的内在价值？</w:t>
            </w:r>
          </w:p>
          <w:p w14:paraId="29B1E000">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截至今日，根据《海天味业关于以集中竞价交易方式回购A股股份的回购报告书》及相关进展公告，A股已回购近1800万股，后续回购数据详见每日翌日披露报表。股价受到外部市场环境等多种因素影响，公司整体经营情况基本稳健。</w:t>
            </w:r>
          </w:p>
          <w:p w14:paraId="74A07CD6">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公司上半年研发投入4.88亿元（占营收3.02%），并全面拥抱AI推动全链条数智化转型。请问独立董事团队将如何评估这些研发与数字化投入的实际转化效率？在降本增效方面，AI技术是否已经体现出可量化的财务回报？</w:t>
            </w:r>
          </w:p>
          <w:p w14:paraId="189CC0CF">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感谢您对独立董事履职的关注。独立董事主要从投入合理性、项目进展和实际转化效果等维度，持续关注公司研发与数字化投入。评估方式包括：通过董事会及专门委员会听取管理层专项汇报，审阅定期报告和相关经营数据，结合现场调研、与内外部审计沟通等，关注研发成果转化等情况。</w:t>
            </w:r>
          </w:p>
          <w:p w14:paraId="2B9C4B34">
            <w:pPr>
              <w:spacing w:line="360" w:lineRule="auto"/>
              <w:rPr>
                <w:rFonts w:ascii="Times New Roman" w:hAnsi="Times New Roman" w:eastAsia="宋体"/>
                <w:sz w:val="24"/>
              </w:rPr>
            </w:pPr>
            <w:r>
              <w:rPr>
                <w:rFonts w:ascii="Times New Roman" w:hAnsi="Times New Roman" w:eastAsia="宋体"/>
                <w:sz w:val="24"/>
              </w:rPr>
              <w:t>从公司实际运营情况来看，全链条数智化转型工作呈现了较大的降本增效作用，如高明制造基地在2025年获评</w:t>
            </w:r>
            <w:r>
              <w:rPr>
                <w:rFonts w:hint="eastAsia" w:ascii="Times New Roman" w:hAnsi="Times New Roman"/>
                <w:sz w:val="24"/>
                <w:lang w:eastAsia="zh-CN"/>
              </w:rPr>
              <w:t>“</w:t>
            </w:r>
            <w:r>
              <w:rPr>
                <w:rFonts w:ascii="Times New Roman" w:hAnsi="Times New Roman" w:eastAsia="宋体"/>
                <w:sz w:val="24"/>
              </w:rPr>
              <w:t>灯塔工厂</w:t>
            </w:r>
            <w:r>
              <w:rPr>
                <w:rFonts w:hint="eastAsia" w:ascii="Times New Roman" w:hAnsi="Times New Roman"/>
                <w:sz w:val="24"/>
                <w:lang w:eastAsia="zh-CN"/>
              </w:rPr>
              <w:t>”</w:t>
            </w:r>
            <w:bookmarkStart w:id="0" w:name="_GoBack"/>
            <w:bookmarkEnd w:id="0"/>
            <w:r>
              <w:rPr>
                <w:rFonts w:ascii="Times New Roman" w:hAnsi="Times New Roman" w:eastAsia="宋体"/>
                <w:sz w:val="24"/>
              </w:rPr>
              <w:t>荣誉。独立董事团队将继续勤勉履职，关注投入产出和中小股东利益，实现企业高质量可持续发展。</w:t>
            </w:r>
          </w:p>
          <w:p w14:paraId="14BD2424">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1、收购香港淘大全部股份的总价格是多少？2、</w:t>
            </w:r>
            <w:r>
              <w:rPr>
                <w:rFonts w:hint="eastAsia" w:ascii="Times New Roman" w:hAnsi="Times New Roman" w:eastAsia="宋体"/>
                <w:sz w:val="24"/>
              </w:rPr>
              <w:t>一</w:t>
            </w:r>
            <w:r>
              <w:rPr>
                <w:rFonts w:ascii="Times New Roman" w:hAnsi="Times New Roman" w:eastAsia="宋体"/>
                <w:sz w:val="24"/>
              </w:rPr>
              <w:t>年内海外海天业务团队会和淘大业务团队整合合并吗？3、9月份起回购托底力度很大，但股价一直下行，一旦回购额度用完，股价继续大幅下行，公司是否有稳定股价后续举措？</w:t>
            </w:r>
          </w:p>
          <w:p w14:paraId="4955D49E">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淘大是一家百年品牌企业，具备自身主营业务的独特优势。收购完成后，公司将保持并积极助力淘大原有业务及人员团队的发展。关于收购项目、公司市值管理等工作的具体信息，公司将遵守按照信息披露规则的相关要求，请以公司相关信息披露为准。</w:t>
            </w:r>
          </w:p>
          <w:p w14:paraId="416F79C2">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上半年，营收仅增6%，管理费用大涨24.73%、销售费用收缩，本次费用调整是阶段性优化还是长期策略？对终端动销有何影响？</w:t>
            </w:r>
          </w:p>
          <w:p w14:paraId="1F5959A2">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上半年管理费用提升，主要是人工、长期待摊费用摊销及咨询等行政开支增加所致；销售费用小幅波动主要系上半年营销广告支出略有下降。公司整体费用策略保持稳健，资源投入向数字化、组织人才、创新能力建设等领域倾斜，确保费用精准投入并有效支撑公司长期发展。</w:t>
            </w:r>
          </w:p>
          <w:p w14:paraId="563000D3">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公司二季度单季营收同比增长2.93%，归母净利润增长2.17%，扣非净利润同比下降3.38%，为什么二季度会出现扣非归母净利润下滑的情况？</w:t>
            </w:r>
          </w:p>
          <w:p w14:paraId="225B6E40">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二季度扣非归母净利润同比小幅下滑，主要受汇兑损失的影响。由于扣非口径不剔除汇兑损益，导致归母净利润与扣非归母净利润同比变动存在差异。总体看，公司主业基本盘相对稳健，具体财务数据请以定期报告为准。</w:t>
            </w:r>
          </w:p>
          <w:p w14:paraId="1BB08150">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想围绕公司近期收购淘大的事项，了解一下：1、淘大在欧美做的是food service和冻品，海天国内是酱油蚝油大流通，双方的协同具体是怎样的？2、收购完成后，海天对淘大原有的团队如何处理？未来对两个品牌分别的定位是什么？3、如何看待淘大和海天在海外面临的竞争环境？</w:t>
            </w:r>
          </w:p>
          <w:p w14:paraId="5E2821CB">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淘大是一家百年品牌企业，具备自身主营业务的独特优势。收购完成后，公司将保持并积极助力淘大原有业务的发展。 同时，公司也将发挥自身在渠道、研发、供应链、产品、品牌等众多方面的优势，加强双方的互补借力、资源整合协同，助力双品牌在广阔机遇与激烈竞争同在的全球市场行稳致远。</w:t>
            </w:r>
          </w:p>
          <w:p w14:paraId="06393BB7">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公司已完成对香港淘大100%股权的收购，请问公司计划如何实现供应链和渠道协同？收购后的整合节奏是怎样的？是否有明确的时间表让淘大开始贡献海外营收增量？</w:t>
            </w:r>
          </w:p>
          <w:p w14:paraId="1ED6E299">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公司与淘大在渠道、研发、供应链、产品、品牌等众多方面均有较好协同效应，双方可通过资源共享、优势互补实现共赢，公司正有序推进双方的资源对接和业务融合，具体进展请以公司公告为准。</w:t>
            </w:r>
          </w:p>
          <w:p w14:paraId="6EDCAFEF">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董事长此前定下</w:t>
            </w:r>
            <w:r>
              <w:rPr>
                <w:rFonts w:hint="eastAsia" w:ascii="Times New Roman" w:hAnsi="Times New Roman"/>
                <w:sz w:val="24"/>
                <w:lang w:eastAsia="zh-CN"/>
              </w:rPr>
              <w:t>“</w:t>
            </w:r>
            <w:r>
              <w:rPr>
                <w:rFonts w:ascii="Times New Roman" w:hAnsi="Times New Roman" w:eastAsia="宋体"/>
                <w:sz w:val="24"/>
              </w:rPr>
              <w:t>3年内海外收入占比提升至15%</w:t>
            </w:r>
            <w:r>
              <w:rPr>
                <w:rFonts w:hint="eastAsia" w:ascii="Times New Roman" w:hAnsi="Times New Roman"/>
                <w:sz w:val="24"/>
                <w:lang w:eastAsia="zh-CN"/>
              </w:rPr>
              <w:t>”</w:t>
            </w:r>
            <w:r>
              <w:rPr>
                <w:rFonts w:ascii="Times New Roman" w:hAnsi="Times New Roman" w:eastAsia="宋体"/>
                <w:sz w:val="24"/>
              </w:rPr>
              <w:t>的目标，但根据国内五大区域营收与总营收的差额推算，上半年海外业务占比仍不足5%，距目标差距较大。请问管理层认为在剩余时间内达成15%目标是否现实？如果仅靠内生增长难以实现，是否会更多依赖并购来快速提升海外占比？</w:t>
            </w:r>
          </w:p>
          <w:p w14:paraId="0D62DB37">
            <w:pPr>
              <w:spacing w:line="360" w:lineRule="auto"/>
              <w:rPr>
                <w:rFonts w:ascii="Times New Roman" w:hAnsi="Times New Roman" w:eastAsia="宋体"/>
                <w:sz w:val="24"/>
              </w:rPr>
            </w:pPr>
            <w:r>
              <w:rPr>
                <w:rFonts w:hint="eastAsia" w:ascii="Times New Roman" w:hAnsi="Times New Roman" w:eastAsia="宋体"/>
                <w:b/>
                <w:sz w:val="24"/>
              </w:rPr>
              <w:t>A</w:t>
            </w:r>
            <w:r>
              <w:rPr>
                <w:rFonts w:hint="eastAsia" w:ascii="Times New Roman" w:hAnsi="Times New Roman"/>
                <w:b/>
                <w:sz w:val="24"/>
                <w:lang w:eastAsia="zh-CN"/>
              </w:rPr>
              <w:t>：</w:t>
            </w:r>
            <w:r>
              <w:rPr>
                <w:rFonts w:ascii="Times New Roman" w:hAnsi="Times New Roman" w:eastAsia="宋体"/>
                <w:sz w:val="24"/>
              </w:rPr>
              <w:t>国内市场是公司发展的根基，也是国际化发展的底座。公司将在持续深耕国内市场的同时，稳步推进海外布局。国际化是公司长期战略方向之一，公司会坚持长期主义，一方面推动内生增长，另一方面也不排除合适的收并购等外延机会，如近期收购了淘大公司。目前国际化业务发展状态整体符合公司预期。</w:t>
            </w:r>
          </w:p>
          <w:p w14:paraId="797993D4">
            <w:pPr>
              <w:spacing w:line="360" w:lineRule="auto"/>
              <w:rPr>
                <w:rFonts w:ascii="Times New Roman" w:hAnsi="Times New Roman" w:eastAsia="宋体"/>
                <w:sz w:val="24"/>
              </w:rPr>
            </w:pPr>
            <w:r>
              <w:rPr>
                <w:rFonts w:ascii="Times New Roman" w:hAnsi="Times New Roman" w:eastAsia="宋体"/>
                <w:sz w:val="24"/>
              </w:rPr>
              <w:t>此外，公司一直以来严格遵守相关规定履行信息披露义务，关于公司的经营目标或业绩指引，请以公告文件为准。谢谢。</w:t>
            </w:r>
          </w:p>
          <w:p w14:paraId="0F80238F">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淘大食品完成收购后，预计何时纳入合并报表，双品牌协同的首批联合开发产品是否有明确的时间表；在印尼、越南推进的海外生产基地目前处于什么建设阶段，预计何时投产并形成规模化海外产能，另外对于整个消费行业企稳时间，你们怎么看？</w:t>
            </w:r>
          </w:p>
          <w:p w14:paraId="5DDEE82A">
            <w:pPr>
              <w:spacing w:line="360" w:lineRule="auto"/>
              <w:rPr>
                <w:rFonts w:ascii="Times New Roman" w:hAnsi="Times New Roman" w:eastAsia="宋体"/>
                <w:sz w:val="24"/>
              </w:rPr>
            </w:pPr>
            <w:r>
              <w:rPr>
                <w:rFonts w:hint="eastAsia" w:ascii="Times New Roman" w:hAnsi="Times New Roman" w:eastAsia="宋体"/>
                <w:b/>
                <w:bCs/>
                <w:sz w:val="24"/>
                <w:lang w:val="en-US" w:eastAsia="zh-CN"/>
              </w:rPr>
              <w:t>A：</w:t>
            </w:r>
            <w:r>
              <w:rPr>
                <w:rFonts w:ascii="Times New Roman" w:hAnsi="Times New Roman" w:eastAsia="宋体"/>
                <w:sz w:val="24"/>
              </w:rPr>
              <w:t>按照企业会计准则，公司自实际取得淘大控制权之日起将其纳入合并报表范围，相关财务影响请以公司定期报告披露数据为准。公司与淘大在渠道、研发、供应链、产品、品牌等众多方面均有较好协同效应，公司正有序推进双方的资源对接和业务融合。公司国际化业务正在有序推进，具体进展亦请参见公司公告。 调味品具备较强的刚需属性，需求基本盘稳健。公司专注于做好自身稳健经营及竞争优势的持续迭代。长期来看，公司对调味品行业和自身发展前景保持信心。</w:t>
            </w:r>
          </w:p>
          <w:p w14:paraId="7C9E7EDD">
            <w:pPr>
              <w:spacing w:before="312" w:beforeLines="100" w:line="360" w:lineRule="auto"/>
              <w:rPr>
                <w:rFonts w:ascii="Times New Roman" w:hAnsi="Times New Roman" w:eastAsia="宋体"/>
                <w:sz w:val="24"/>
              </w:rPr>
            </w:pPr>
            <w:r>
              <w:rPr>
                <w:rFonts w:hint="eastAsia" w:ascii="Times New Roman" w:hAnsi="Times New Roman" w:eastAsia="宋体"/>
                <w:b/>
                <w:bCs/>
                <w:sz w:val="24"/>
                <w:lang w:val="en-US" w:eastAsia="zh-CN"/>
              </w:rPr>
              <w:t>Q：</w:t>
            </w:r>
            <w:r>
              <w:rPr>
                <w:rFonts w:ascii="Times New Roman" w:hAnsi="Times New Roman" w:eastAsia="宋体"/>
                <w:sz w:val="24"/>
              </w:rPr>
              <w:t>1、上半年公司三大核心品类收入增速明显放缓，在当前调味品行业需求仍然承压的情况下，公司判断下半年以及未来一两年的增长动力主要来自哪里？目前来看，传统核心品类的增长空间还有多大？2、公司此次收购淘大，外界比较关注其海外渠道和品牌价值。对于海天而言，这笔收购最核心的战略价值是什么？未来海天和淘大两个品牌在海外市场会如何定位和协同？公司对于淘大未来的收入贡献目标是什么？</w:t>
            </w:r>
          </w:p>
          <w:p w14:paraId="17769C6A">
            <w:pPr>
              <w:spacing w:line="360" w:lineRule="auto"/>
              <w:rPr>
                <w:rFonts w:ascii="Times New Roman" w:hAnsi="Times New Roman" w:eastAsia="宋体"/>
                <w:sz w:val="24"/>
              </w:rPr>
            </w:pPr>
            <w:r>
              <w:rPr>
                <w:rFonts w:hint="eastAsia" w:ascii="Times New Roman" w:hAnsi="Times New Roman" w:eastAsia="宋体"/>
                <w:b/>
                <w:bCs/>
                <w:sz w:val="24"/>
                <w:lang w:val="en-US" w:eastAsia="zh-CN"/>
              </w:rPr>
              <w:t>A：</w:t>
            </w:r>
            <w:r>
              <w:rPr>
                <w:rFonts w:ascii="Times New Roman" w:hAnsi="Times New Roman" w:eastAsia="宋体"/>
                <w:sz w:val="24"/>
              </w:rPr>
              <w:t>1.得益于调味品悠久的发展历史和刚需特性，调味品行业在过往总体保持稳健发展。全球和中国调味品市场容量大，仍有较大发展空间，存在较多结构性与差异化机会。公司会继续坚持固本强基和固本培优双发展：一方面守住传统核心品类和渠道基本盘，夯实供应链、品牌和终端运营；另一方面积极培育健康化、复合化、定制化等新赛道，优化产品结构和增长质量。</w:t>
            </w:r>
          </w:p>
          <w:p w14:paraId="1C212F71">
            <w:pPr>
              <w:spacing w:line="360" w:lineRule="auto"/>
              <w:rPr>
                <w:rFonts w:ascii="Times New Roman" w:hAnsi="Times New Roman" w:eastAsia="宋体"/>
                <w:sz w:val="24"/>
              </w:rPr>
            </w:pPr>
            <w:r>
              <w:rPr>
                <w:rFonts w:ascii="Times New Roman" w:hAnsi="Times New Roman" w:eastAsia="宋体"/>
                <w:sz w:val="24"/>
              </w:rPr>
              <w:t>2. 此次收购淘大是公司全球化棋局中落下的关键一子，也是深化产业整合、完善全球化布局、稳步推进国际化战略的重要举措。收购完成后，海天将充分利用研发、供应链及渠道等资源，淘大将延续全球化起步早、自身品牌优势等特点，双向赋能、互补借力发展。公司相信，通过海天与淘大的资源整合，将有助于双品牌未来的可持续发展与成长。</w:t>
            </w:r>
          </w:p>
          <w:p w14:paraId="1071EB83">
            <w:pPr>
              <w:spacing w:line="360" w:lineRule="auto"/>
              <w:rPr>
                <w:rFonts w:ascii="Times New Roman" w:hAnsi="Times New Roman" w:eastAsia="宋体"/>
                <w:sz w:val="24"/>
              </w:rPr>
            </w:pPr>
          </w:p>
          <w:p w14:paraId="7E948A12">
            <w:pPr>
              <w:spacing w:line="360" w:lineRule="auto"/>
              <w:rPr>
                <w:rFonts w:hint="eastAsia" w:ascii="Times New Roman" w:hAnsi="Times New Roman" w:eastAsia="宋体"/>
                <w:sz w:val="24"/>
                <w:lang w:val="en-US" w:eastAsia="zh-CN"/>
              </w:rPr>
            </w:pPr>
            <w:r>
              <w:rPr>
                <w:rFonts w:hint="eastAsia" w:ascii="Times New Roman" w:hAnsi="Times New Roman" w:eastAsia="宋体"/>
                <w:b/>
                <w:bCs/>
                <w:sz w:val="24"/>
                <w:lang w:val="en-US" w:eastAsia="zh-CN"/>
              </w:rPr>
              <w:t>Q：</w:t>
            </w:r>
            <w:r>
              <w:rPr>
                <w:rFonts w:hint="eastAsia" w:ascii="Times New Roman" w:hAnsi="Times New Roman" w:eastAsia="宋体"/>
                <w:sz w:val="24"/>
                <w:lang w:val="en-US" w:eastAsia="zh-CN"/>
              </w:rPr>
              <w:t>近期税务部门对企业税收优惠政策加强了征管，多家公司因不符合税收优惠条件发生大额补税。公司合并范围内有多家高新技术企业，并享受了相关税收优惠政策，且金额较大。请介绍一下公司针对企业所得税管理，特别是高新技术企业认定、研发费用归集使用、加计扣除等环节，制定的内部控制程序、配套管理制度及问责机制，以及这些内控机制是否得到了有效的执行，并评估一下是否可能存在相关税收风险。</w:t>
            </w:r>
          </w:p>
          <w:p w14:paraId="4C4334BC">
            <w:pPr>
              <w:spacing w:line="360" w:lineRule="auto"/>
              <w:rPr>
                <w:rFonts w:hint="default" w:ascii="Times New Roman" w:hAnsi="Times New Roman" w:eastAsia="宋体"/>
                <w:sz w:val="24"/>
                <w:lang w:val="en-US" w:eastAsia="zh-CN"/>
              </w:rPr>
            </w:pPr>
            <w:r>
              <w:rPr>
                <w:rFonts w:hint="eastAsia" w:ascii="Times New Roman" w:hAnsi="Times New Roman" w:eastAsia="宋体"/>
                <w:b/>
                <w:bCs/>
                <w:sz w:val="24"/>
                <w:lang w:val="en-US" w:eastAsia="zh-CN"/>
              </w:rPr>
              <w:t>A：</w:t>
            </w:r>
            <w:r>
              <w:rPr>
                <w:rFonts w:hint="eastAsia" w:ascii="Times New Roman" w:hAnsi="Times New Roman" w:eastAsia="宋体"/>
                <w:sz w:val="24"/>
                <w:lang w:val="en-US" w:eastAsia="zh-CN"/>
              </w:rPr>
              <w:t>感谢您的关注。公司始终坚持合规经营，高度重视税务等各项管理规范，持续按照法规和内控要求开展相关工作。对于上市公司内部控制程序和制度等内容，可于上交所网站、联交所披露易或公司官网“投资者关系-公司公告”栏目查询参阅《海天味业内部控制制度》、公司年度内部控制评价报告及内部控制审计报告等文件。如涉及对公司有重大影响的风险事项，将依法依规及时履行信息披露义务。</w:t>
            </w:r>
          </w:p>
        </w:tc>
      </w:tr>
    </w:tbl>
    <w:p w14:paraId="00FCB5DE">
      <w:pPr>
        <w:rPr>
          <w:rFonts w:ascii="Times New Roman" w:hAnsi="Times New Roman" w:eastAsia="宋体"/>
        </w:rPr>
      </w:pPr>
    </w:p>
    <w:p w14:paraId="79D9AFC1">
      <w:pPr>
        <w:rPr>
          <w:rFonts w:ascii="Times New Roman" w:hAnsi="Times New Roman" w:eastAsia="宋体"/>
        </w:rPr>
      </w:pPr>
    </w:p>
    <w:p w14:paraId="53E1997E">
      <w:pPr>
        <w:rPr>
          <w:rFonts w:ascii="Times New Roman" w:hAnsi="Times New Roman" w:eastAsia="宋体"/>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iyu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F2F6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267FCB">
                          <w:pPr>
                            <w:pStyle w:val="2"/>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PAGE  \* MERGEFORMAT </w:instrText>
                          </w:r>
                          <w:r>
                            <w:rPr>
                              <w:rFonts w:hint="default" w:ascii="Times New Roman" w:hAnsi="Times New Roman" w:cs="Times New Roman"/>
                              <w:sz w:val="22"/>
                              <w:szCs w:val="22"/>
                            </w:rPr>
                            <w:fldChar w:fldCharType="separate"/>
                          </w:r>
                          <w:r>
                            <w:rPr>
                              <w:rFonts w:hint="default" w:ascii="Times New Roman" w:hAnsi="Times New Roman" w:cs="Times New Roman"/>
                              <w:sz w:val="22"/>
                              <w:szCs w:val="22"/>
                            </w:rPr>
                            <w:t>1</w:t>
                          </w:r>
                          <w:r>
                            <w:rPr>
                              <w:rFonts w:hint="default" w:ascii="Times New Roman" w:hAnsi="Times New Roman" w:cs="Times New Roman"/>
                              <w:sz w:val="22"/>
                              <w:szCs w:val="2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D267FCB">
                    <w:pPr>
                      <w:pStyle w:val="2"/>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PAGE  \* MERGEFORMAT </w:instrText>
                    </w:r>
                    <w:r>
                      <w:rPr>
                        <w:rFonts w:hint="default" w:ascii="Times New Roman" w:hAnsi="Times New Roman" w:cs="Times New Roman"/>
                        <w:sz w:val="22"/>
                        <w:szCs w:val="22"/>
                      </w:rPr>
                      <w:fldChar w:fldCharType="separate"/>
                    </w:r>
                    <w:r>
                      <w:rPr>
                        <w:rFonts w:hint="default" w:ascii="Times New Roman" w:hAnsi="Times New Roman" w:cs="Times New Roman"/>
                        <w:sz w:val="22"/>
                        <w:szCs w:val="22"/>
                      </w:rPr>
                      <w:t>1</w:t>
                    </w:r>
                    <w:r>
                      <w:rPr>
                        <w:rFonts w:hint="default" w:ascii="Times New Roman" w:hAnsi="Times New Roman" w:cs="Times New Roman"/>
                        <w:sz w:val="22"/>
                        <w:szCs w:val="2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0D"/>
    <w:rsid w:val="00002C7D"/>
    <w:rsid w:val="00024E68"/>
    <w:rsid w:val="00245F66"/>
    <w:rsid w:val="00255271"/>
    <w:rsid w:val="00366F89"/>
    <w:rsid w:val="005362D1"/>
    <w:rsid w:val="0075041C"/>
    <w:rsid w:val="009E6E7E"/>
    <w:rsid w:val="00A24A9E"/>
    <w:rsid w:val="00AA25E4"/>
    <w:rsid w:val="00B6549E"/>
    <w:rsid w:val="00C235BC"/>
    <w:rsid w:val="00C545BD"/>
    <w:rsid w:val="00C96485"/>
    <w:rsid w:val="00DB17AC"/>
    <w:rsid w:val="00EF5612"/>
    <w:rsid w:val="00F6250D"/>
    <w:rsid w:val="02CE3596"/>
    <w:rsid w:val="036363D4"/>
    <w:rsid w:val="0C607954"/>
    <w:rsid w:val="0EEA79A9"/>
    <w:rsid w:val="0FCE4AA0"/>
    <w:rsid w:val="1209283C"/>
    <w:rsid w:val="12137217"/>
    <w:rsid w:val="18756535"/>
    <w:rsid w:val="18F90F15"/>
    <w:rsid w:val="1CBA6C0D"/>
    <w:rsid w:val="20790B8D"/>
    <w:rsid w:val="2F397E65"/>
    <w:rsid w:val="2FF96889"/>
    <w:rsid w:val="311741D6"/>
    <w:rsid w:val="31B646F4"/>
    <w:rsid w:val="342C1119"/>
    <w:rsid w:val="3A103EB8"/>
    <w:rsid w:val="3DB90469"/>
    <w:rsid w:val="408A281A"/>
    <w:rsid w:val="41F0485F"/>
    <w:rsid w:val="424010B3"/>
    <w:rsid w:val="45456FB2"/>
    <w:rsid w:val="4B306168"/>
    <w:rsid w:val="4C7311D9"/>
    <w:rsid w:val="50827466"/>
    <w:rsid w:val="522A1187"/>
    <w:rsid w:val="5560066F"/>
    <w:rsid w:val="599E2E37"/>
    <w:rsid w:val="59F16F49"/>
    <w:rsid w:val="5B61411C"/>
    <w:rsid w:val="675963C4"/>
    <w:rsid w:val="67762CFD"/>
    <w:rsid w:val="67A7735B"/>
    <w:rsid w:val="70C42D2B"/>
    <w:rsid w:val="779276DF"/>
    <w:rsid w:val="79FA77BE"/>
    <w:rsid w:val="7B47340A"/>
    <w:rsid w:val="7E8D0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2"/>
    <w:semiHidden/>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styleId="7">
    <w:name w:val="FollowedHyperlink"/>
    <w:basedOn w:val="6"/>
    <w:semiHidden/>
    <w:unhideWhenUsed/>
    <w:qFormat/>
    <w:uiPriority w:val="99"/>
    <w:rPr>
      <w:color w:val="954F72" w:themeColor="followedHyperlink"/>
      <w:u w:val="single"/>
      <w14:textFill>
        <w14:solidFill>
          <w14:schemeClr w14:val="folHlink"/>
        </w14:solidFill>
      </w14:textFill>
    </w:rPr>
  </w:style>
  <w:style w:type="character" w:styleId="8">
    <w:name w:val="Hyperlink"/>
    <w:unhideWhenUsed/>
    <w:qFormat/>
    <w:uiPriority w:val="99"/>
    <w:rPr>
      <w:color w:val="0563C1"/>
      <w:u w:val="single"/>
    </w:rPr>
  </w:style>
  <w:style w:type="paragraph" w:customStyle="1" w:styleId="9">
    <w:name w:val="_Style 6"/>
    <w:basedOn w:val="1"/>
    <w:qFormat/>
    <w:uiPriority w:val="34"/>
    <w:pPr>
      <w:ind w:firstLine="420" w:firstLineChars="200"/>
    </w:pPr>
  </w:style>
  <w:style w:type="character" w:customStyle="1" w:styleId="10">
    <w:name w:val="页眉 字符"/>
    <w:basedOn w:val="6"/>
    <w:link w:val="3"/>
    <w:qFormat/>
    <w:uiPriority w:val="99"/>
    <w:rPr>
      <w:rFonts w:ascii="Calibri" w:hAnsi="Calibri" w:eastAsia="宋体" w:cs="Times New Roman"/>
      <w:sz w:val="18"/>
      <w:szCs w:val="18"/>
    </w:rPr>
  </w:style>
  <w:style w:type="character" w:customStyle="1" w:styleId="11">
    <w:name w:val="页脚 字符"/>
    <w:basedOn w:val="6"/>
    <w:link w:val="2"/>
    <w:qFormat/>
    <w:uiPriority w:val="99"/>
    <w:rPr>
      <w:rFonts w:ascii="Calibri" w:hAnsi="Calibri" w:eastAsia="宋体" w:cs="Times New Roman"/>
      <w:sz w:val="18"/>
      <w:szCs w:val="18"/>
    </w:rPr>
  </w:style>
  <w:style w:type="character" w:customStyle="1" w:styleId="12">
    <w:name w:val="HTML 预设格式 字符"/>
    <w:basedOn w:val="6"/>
    <w:link w:val="4"/>
    <w:semiHidden/>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3510</Words>
  <Characters>3687</Characters>
  <Lines>27</Lines>
  <Paragraphs>7</Paragraphs>
  <TotalTime>0</TotalTime>
  <ScaleCrop>false</ScaleCrop>
  <LinksUpToDate>false</LinksUpToDate>
  <CharactersWithSpaces>3766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2026-09-21T07:10:00Z</dcterms:created>
  <dc:creator>吴伟明</dc:creator>
  <cp:lastModifiedBy>Y</cp:lastModifiedBy>
  <dcterms:modified xsi:type="dcterms:W3CDTF">2026-09-21T08:12:27Z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eyJoZGlkIjoiNjE0MDhjYTEyNGQ4NDFiMGU1MjA1MTViYTAyNGM5NzUiLCJ1c2VySWQiOiIxODAwODM2NDY0In0=</vt:lpwstr>
  </property>
  <property fmtid="{D5CDD505-2E9C-101B-9397-08002B2CF9AE}" pid="3" name="KSOProductBuildVer">
    <vt:lpwstr>2052-12.1.0.23125</vt:lpwstr>
  </property>
  <property fmtid="{D5CDD505-2E9C-101B-9397-08002B2CF9AE}" pid="4" name="ICV">
    <vt:lpwstr>A8BED87BF5634887A1FA63B76597C06B_13</vt:lpwstr>
  </property>
</Properties>
</file>