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B82798">
      <w:pPr>
        <w:jc w:val="center"/>
        <w:rPr>
          <w:rFonts w:ascii="华文中宋" w:hAnsi="华文中宋" w:eastAsia="华文中宋"/>
          <w:b/>
          <w:sz w:val="32"/>
          <w:szCs w:val="32"/>
        </w:rPr>
      </w:pPr>
      <w:r>
        <w:rPr>
          <w:rFonts w:hint="eastAsia" w:ascii="华文中宋" w:hAnsi="华文中宋" w:eastAsia="华文中宋"/>
          <w:b/>
          <w:sz w:val="32"/>
          <w:szCs w:val="32"/>
        </w:rPr>
        <w:t>国机汽车股份有限公司</w:t>
      </w:r>
    </w:p>
    <w:p w14:paraId="07D3EBC2">
      <w:pPr>
        <w:jc w:val="center"/>
        <w:rPr>
          <w:rFonts w:ascii="华文中宋" w:hAnsi="华文中宋" w:eastAsia="华文中宋"/>
          <w:b/>
          <w:sz w:val="32"/>
          <w:szCs w:val="32"/>
        </w:rPr>
      </w:pPr>
      <w:r>
        <w:rPr>
          <w:rFonts w:hint="eastAsia" w:ascii="华文中宋" w:hAnsi="华文中宋" w:eastAsia="华文中宋"/>
          <w:b/>
          <w:sz w:val="32"/>
          <w:szCs w:val="32"/>
        </w:rPr>
        <w:t>投资者关系活动记录表</w:t>
      </w:r>
    </w:p>
    <w:tbl>
      <w:tblPr>
        <w:tblStyle w:val="8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6854"/>
      </w:tblGrid>
      <w:tr w14:paraId="4FAF46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  <w:jc w:val="center"/>
        </w:trPr>
        <w:tc>
          <w:tcPr>
            <w:tcW w:w="1668" w:type="dxa"/>
            <w:vAlign w:val="center"/>
          </w:tcPr>
          <w:p w14:paraId="6808166A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投资者关系</w:t>
            </w:r>
          </w:p>
          <w:p w14:paraId="1950CF68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活动类别</w:t>
            </w:r>
          </w:p>
        </w:tc>
        <w:tc>
          <w:tcPr>
            <w:tcW w:w="6854" w:type="dxa"/>
          </w:tcPr>
          <w:p w14:paraId="4C3175AA">
            <w:pPr>
              <w:rPr>
                <w:rFonts w:cs="Arial" w:asciiTheme="minorEastAsia" w:hAnsiTheme="minorEastAsia"/>
                <w:sz w:val="24"/>
                <w:szCs w:val="24"/>
                <w:shd w:val="clear" w:color="auto" w:fill="FFFFFF"/>
              </w:rPr>
            </w:pPr>
            <w:r>
              <w:rPr>
                <w:rFonts w:cs="Arial" w:asciiTheme="minorEastAsia" w:hAnsiTheme="minorEastAsia"/>
                <w:sz w:val="24"/>
                <w:szCs w:val="24"/>
                <w:shd w:val="clear" w:color="auto" w:fill="FFFFFF"/>
              </w:rPr>
              <w:t>□特定对象调研</w:t>
            </w:r>
            <w:r>
              <w:rPr>
                <w:rFonts w:hint="eastAsia" w:cs="Arial" w:asciiTheme="minorEastAsia" w:hAnsiTheme="minorEastAsia"/>
                <w:sz w:val="24"/>
                <w:szCs w:val="24"/>
                <w:shd w:val="clear" w:color="auto" w:fill="FFFFFF"/>
              </w:rPr>
              <w:t xml:space="preserve">     </w:t>
            </w:r>
            <w:r>
              <w:rPr>
                <w:rFonts w:cs="Arial" w:asciiTheme="minorEastAsia" w:hAnsiTheme="minorEastAsia"/>
                <w:sz w:val="24"/>
                <w:szCs w:val="24"/>
                <w:shd w:val="clear" w:color="auto" w:fill="FFFFFF"/>
              </w:rPr>
              <w:t>□分析师会议</w:t>
            </w:r>
          </w:p>
          <w:p w14:paraId="207BCD08">
            <w:pPr>
              <w:rPr>
                <w:rFonts w:cs="Arial" w:asciiTheme="minorEastAsia" w:hAnsiTheme="minorEastAsia"/>
                <w:sz w:val="24"/>
                <w:szCs w:val="24"/>
                <w:shd w:val="clear" w:color="auto" w:fill="FFFFFF"/>
              </w:rPr>
            </w:pPr>
            <w:r>
              <w:rPr>
                <w:rFonts w:cs="Arial" w:asciiTheme="minorEastAsia" w:hAnsiTheme="minorEastAsia"/>
                <w:sz w:val="24"/>
                <w:szCs w:val="24"/>
                <w:shd w:val="clear" w:color="auto" w:fill="FFFFFF"/>
              </w:rPr>
              <w:t>□媒体采访</w:t>
            </w:r>
            <w:r>
              <w:rPr>
                <w:rFonts w:hint="eastAsia" w:cs="Arial" w:asciiTheme="minorEastAsia" w:hAnsiTheme="minorEastAsia"/>
                <w:sz w:val="24"/>
                <w:szCs w:val="24"/>
                <w:shd w:val="clear" w:color="auto" w:fill="FFFFFF"/>
              </w:rPr>
              <w:t xml:space="preserve">         </w:t>
            </w:r>
            <w:r>
              <w:rPr>
                <w:rFonts w:cs="Arial" w:asciiTheme="minorEastAsia" w:hAnsiTheme="minorEastAsia"/>
                <w:sz w:val="24"/>
                <w:szCs w:val="24"/>
                <w:shd w:val="clear" w:color="auto" w:fill="FFFFFF"/>
              </w:rPr>
              <w:t>□业绩说明会</w:t>
            </w:r>
          </w:p>
          <w:p w14:paraId="48757051">
            <w:pPr>
              <w:rPr>
                <w:rFonts w:cs="Arial" w:asciiTheme="minorEastAsia" w:hAnsiTheme="minorEastAsia"/>
                <w:sz w:val="24"/>
                <w:szCs w:val="24"/>
                <w:shd w:val="clear" w:color="auto" w:fill="FFFFFF"/>
              </w:rPr>
            </w:pPr>
            <w:r>
              <w:rPr>
                <w:rFonts w:cs="Arial" w:asciiTheme="minorEastAsia" w:hAnsiTheme="minorEastAsia"/>
                <w:sz w:val="24"/>
                <w:szCs w:val="24"/>
                <w:shd w:val="clear" w:color="auto" w:fill="FFFFFF"/>
              </w:rPr>
              <w:t>□新闻发布会</w:t>
            </w:r>
            <w:r>
              <w:rPr>
                <w:rFonts w:hint="eastAsia" w:cs="Arial" w:asciiTheme="minorEastAsia" w:hAnsiTheme="minorEastAsia"/>
                <w:sz w:val="24"/>
                <w:szCs w:val="24"/>
                <w:shd w:val="clear" w:color="auto" w:fill="FFFFFF"/>
              </w:rPr>
              <w:t xml:space="preserve">       </w:t>
            </w:r>
            <w:r>
              <w:rPr>
                <w:rFonts w:cs="Arial" w:asciiTheme="minorEastAsia" w:hAnsiTheme="minorEastAsia"/>
                <w:sz w:val="24"/>
                <w:szCs w:val="24"/>
                <w:shd w:val="clear" w:color="auto" w:fill="FFFFFF"/>
              </w:rPr>
              <w:t>□路演活动</w:t>
            </w:r>
          </w:p>
          <w:p w14:paraId="21F26614">
            <w:pPr>
              <w:rPr>
                <w:rFonts w:cs="Arial" w:asciiTheme="minorEastAsia" w:hAnsiTheme="minorEastAsia"/>
                <w:sz w:val="24"/>
                <w:szCs w:val="24"/>
                <w:shd w:val="clear" w:color="auto" w:fill="FFFFFF"/>
              </w:rPr>
            </w:pPr>
            <w:r>
              <w:rPr>
                <w:rFonts w:cs="Arial" w:asciiTheme="minorEastAsia" w:hAnsiTheme="minorEastAsia"/>
                <w:sz w:val="24"/>
                <w:szCs w:val="24"/>
                <w:shd w:val="clear" w:color="auto" w:fill="FFFFFF"/>
              </w:rPr>
              <w:t>□现场参观</w:t>
            </w:r>
            <w:r>
              <w:rPr>
                <w:rFonts w:hint="eastAsia" w:cs="Arial" w:asciiTheme="minorEastAsia" w:hAnsiTheme="minorEastAsia"/>
                <w:sz w:val="24"/>
                <w:szCs w:val="24"/>
                <w:shd w:val="clear" w:color="auto" w:fill="FFFFFF"/>
              </w:rPr>
              <w:t xml:space="preserve">         </w:t>
            </w:r>
            <w:r>
              <w:rPr>
                <w:rFonts w:cs="Arial" w:asciiTheme="minorEastAsia" w:hAnsiTheme="minorEastAsia"/>
                <w:sz w:val="24"/>
                <w:szCs w:val="24"/>
                <w:shd w:val="clear" w:color="auto" w:fill="FFFFFF"/>
              </w:rPr>
              <w:t>√其他</w:t>
            </w:r>
            <w:r>
              <w:rPr>
                <w:rFonts w:hint="eastAsia" w:cs="Arial" w:asciiTheme="minorEastAsia" w:hAnsiTheme="minorEastAsia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5C62A70B">
            <w:pPr>
              <w:rPr>
                <w:rFonts w:cs="Arial" w:asciiTheme="minorEastAsia" w:hAnsiTheme="minorEastAsia"/>
                <w:sz w:val="24"/>
                <w:szCs w:val="24"/>
                <w:shd w:val="clear" w:color="auto" w:fill="FFFFFF"/>
              </w:rPr>
            </w:pPr>
            <w:r>
              <w:rPr>
                <w:rFonts w:hint="eastAsia" w:cs="Arial" w:asciiTheme="minorEastAsia" w:hAnsiTheme="minorEastAsia"/>
                <w:sz w:val="24"/>
                <w:szCs w:val="24"/>
                <w:u w:val="single"/>
                <w:shd w:val="clear" w:color="auto" w:fill="FFFFFF"/>
              </w:rPr>
              <w:t>国机集团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>2026</w:t>
            </w:r>
            <w:r>
              <w:rPr>
                <w:rFonts w:hint="eastAsia" w:cs="Arial" w:asciiTheme="minorEastAsia" w:hAnsiTheme="minorEastAsia"/>
                <w:sz w:val="24"/>
                <w:szCs w:val="24"/>
                <w:u w:val="single"/>
                <w:shd w:val="clear" w:color="auto" w:fill="FFFFFF"/>
              </w:rPr>
              <w:t>年上市公司集体投资者交流活动</w:t>
            </w:r>
          </w:p>
        </w:tc>
      </w:tr>
      <w:tr w14:paraId="2662D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0" w:hRule="atLeast"/>
          <w:jc w:val="center"/>
        </w:trPr>
        <w:tc>
          <w:tcPr>
            <w:tcW w:w="1668" w:type="dxa"/>
            <w:vAlign w:val="center"/>
          </w:tcPr>
          <w:p w14:paraId="12217658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参与单位名称及人员姓名</w:t>
            </w:r>
          </w:p>
        </w:tc>
        <w:tc>
          <w:tcPr>
            <w:tcW w:w="6854" w:type="dxa"/>
            <w:vAlign w:val="center"/>
          </w:tcPr>
          <w:p w14:paraId="676C14A0">
            <w:pP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北京清新环境王斯淳</w:t>
            </w:r>
          </w:p>
          <w:p w14:paraId="5266DD02">
            <w:pP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中国银河证券李雪斌</w:t>
            </w:r>
          </w:p>
          <w:p w14:paraId="638F0DE3">
            <w:pP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中国银河证券王楠煜</w:t>
            </w:r>
          </w:p>
          <w:p w14:paraId="48188BAE">
            <w:pPr>
              <w:rPr>
                <w:rFonts w:hint="default" w:asciiTheme="minorEastAsia" w:hAnsi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中国银河证券赵瑛</w:t>
            </w:r>
          </w:p>
          <w:p w14:paraId="1A592CD6">
            <w:pPr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天风证券薛长安</w:t>
            </w:r>
          </w:p>
          <w:p w14:paraId="744496C8">
            <w:pPr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太平洋证券程志峰</w:t>
            </w:r>
          </w:p>
          <w:p w14:paraId="20D85C01">
            <w:pP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华创证券于公铭</w:t>
            </w:r>
          </w:p>
          <w:p w14:paraId="68525939">
            <w:pP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新鼎资本汪志伟</w:t>
            </w:r>
          </w:p>
          <w:p w14:paraId="416B501B">
            <w:pPr>
              <w:rPr>
                <w:rFonts w:hint="default" w:asciiTheme="minorEastAsia" w:hAnsi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鼎盛资本郭丽</w:t>
            </w:r>
            <w:bookmarkStart w:id="0" w:name="_GoBack"/>
            <w:bookmarkEnd w:id="0"/>
          </w:p>
          <w:p w14:paraId="0FBA538A">
            <w:pP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北京大成律所孟庆慧</w:t>
            </w:r>
          </w:p>
          <w:p w14:paraId="46F96E4A">
            <w:pPr>
              <w:rPr>
                <w:rFonts w:hint="default" w:asciiTheme="minorEastAsia" w:hAnsi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申万宏源证券岳洪霞</w:t>
            </w:r>
          </w:p>
        </w:tc>
      </w:tr>
      <w:tr w14:paraId="39EFAB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8" w:type="dxa"/>
            <w:vAlign w:val="center"/>
          </w:tcPr>
          <w:p w14:paraId="38E6ACA0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时间</w:t>
            </w:r>
          </w:p>
        </w:tc>
        <w:tc>
          <w:tcPr>
            <w:tcW w:w="6854" w:type="dxa"/>
          </w:tcPr>
          <w:p w14:paraId="04793B96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日</w:t>
            </w:r>
          </w:p>
        </w:tc>
      </w:tr>
      <w:tr w14:paraId="2E0623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8" w:type="dxa"/>
            <w:vAlign w:val="center"/>
          </w:tcPr>
          <w:p w14:paraId="3A962E8C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cs="Arial" w:asciiTheme="minorEastAsia" w:hAnsiTheme="minorEastAsia"/>
                <w:b/>
                <w:sz w:val="24"/>
                <w:szCs w:val="24"/>
                <w:shd w:val="clear" w:color="auto" w:fill="FFFFFF"/>
              </w:rPr>
              <w:t>地点</w:t>
            </w:r>
          </w:p>
        </w:tc>
        <w:tc>
          <w:tcPr>
            <w:tcW w:w="6854" w:type="dxa"/>
          </w:tcPr>
          <w:p w14:paraId="2E848C46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重庆</w:t>
            </w:r>
          </w:p>
        </w:tc>
      </w:tr>
      <w:tr w14:paraId="71693A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8" w:type="dxa"/>
            <w:vAlign w:val="center"/>
          </w:tcPr>
          <w:p w14:paraId="3C9F4A1F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上市公司接待人员姓名</w:t>
            </w:r>
          </w:p>
        </w:tc>
        <w:tc>
          <w:tcPr>
            <w:tcW w:w="6854" w:type="dxa"/>
          </w:tcPr>
          <w:p w14:paraId="6E942D52">
            <w:pPr>
              <w:spacing w:line="360" w:lineRule="atLeas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董事长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：戴旻</w:t>
            </w:r>
          </w:p>
          <w:p w14:paraId="766C2188">
            <w:pPr>
              <w:spacing w:line="360" w:lineRule="atLeas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财务总监、董事会秘书：张之亮</w:t>
            </w:r>
          </w:p>
          <w:p w14:paraId="6B86C44E">
            <w:pPr>
              <w:spacing w:line="360" w:lineRule="atLeas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董事会办公室（战略投资部）主任：聂秀欣</w:t>
            </w:r>
          </w:p>
          <w:p w14:paraId="62409615">
            <w:pPr>
              <w:spacing w:line="360" w:lineRule="atLeas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资产财务部部长：郭天炜</w:t>
            </w:r>
          </w:p>
          <w:p w14:paraId="45EB5D5B">
            <w:pPr>
              <w:spacing w:line="360" w:lineRule="atLeas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证券事务代表：蒋舒</w:t>
            </w:r>
          </w:p>
          <w:p w14:paraId="5B6266D1">
            <w:pPr>
              <w:spacing w:line="360" w:lineRule="atLeas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董事会办公室（战略投资部）业务经理：王宇</w:t>
            </w:r>
          </w:p>
        </w:tc>
      </w:tr>
      <w:tr w14:paraId="08022F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8" w:type="dxa"/>
            <w:vAlign w:val="center"/>
          </w:tcPr>
          <w:p w14:paraId="6CF94DC1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投资者关系活动主要内容介绍</w:t>
            </w:r>
          </w:p>
        </w:tc>
        <w:tc>
          <w:tcPr>
            <w:tcW w:w="6854" w:type="dxa"/>
          </w:tcPr>
          <w:p w14:paraId="735B2397">
            <w:pPr>
              <w:spacing w:line="360" w:lineRule="exact"/>
              <w:rPr>
                <w:rFonts w:asciiTheme="minorEastAsia" w:hAnsiTheme="minorEastAsia"/>
                <w:sz w:val="24"/>
                <w:szCs w:val="21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1"/>
              </w:rPr>
              <w:t xml:space="preserve"> </w:t>
            </w:r>
            <w:r>
              <w:rPr>
                <w:rFonts w:asciiTheme="minorEastAsia" w:hAnsiTheme="minorEastAsia"/>
                <w:b/>
                <w:sz w:val="24"/>
                <w:szCs w:val="21"/>
              </w:rPr>
              <w:t xml:space="preserve">   </w:t>
            </w:r>
            <w:r>
              <w:rPr>
                <w:rFonts w:hint="eastAsia" w:asciiTheme="minorEastAsia" w:hAnsiTheme="minorEastAsia"/>
                <w:sz w:val="24"/>
                <w:szCs w:val="21"/>
              </w:rPr>
              <w:t>公司控股股东中国机械工业集团有限公司（以下简称国机集团）于</w:t>
            </w:r>
            <w:r>
              <w:rPr>
                <w:rFonts w:ascii="Times New Roman" w:hAnsi="Times New Roman" w:cs="Times New Roman"/>
                <w:sz w:val="24"/>
                <w:szCs w:val="21"/>
              </w:rPr>
              <w:t>2026</w:t>
            </w:r>
            <w:r>
              <w:rPr>
                <w:rFonts w:hint="eastAsia" w:asciiTheme="minorEastAsia" w:hAnsiTheme="minorEastAsia"/>
                <w:sz w:val="24"/>
                <w:szCs w:val="21"/>
              </w:rPr>
              <w:t>年</w:t>
            </w:r>
            <w:r>
              <w:rPr>
                <w:rFonts w:ascii="Times New Roman" w:hAnsi="Times New Roman" w:cs="Times New Roman"/>
                <w:sz w:val="24"/>
                <w:szCs w:val="21"/>
              </w:rPr>
              <w:t>9</w:t>
            </w:r>
            <w:r>
              <w:rPr>
                <w:rFonts w:hint="eastAsia" w:asciiTheme="minorEastAsia" w:hAnsiTheme="minorEastAsia"/>
                <w:sz w:val="24"/>
                <w:szCs w:val="21"/>
              </w:rPr>
              <w:t>月</w:t>
            </w:r>
            <w:r>
              <w:rPr>
                <w:rFonts w:ascii="Times New Roman" w:hAnsi="Times New Roman" w:cs="Times New Roman"/>
                <w:sz w:val="24"/>
                <w:szCs w:val="21"/>
              </w:rPr>
              <w:t>21</w:t>
            </w:r>
            <w:r>
              <w:rPr>
                <w:rFonts w:hint="eastAsia" w:asciiTheme="minorEastAsia" w:hAnsiTheme="minorEastAsia"/>
                <w:sz w:val="24"/>
                <w:szCs w:val="21"/>
              </w:rPr>
              <w:t>日举办国机集团</w:t>
            </w:r>
            <w:r>
              <w:rPr>
                <w:rFonts w:ascii="Times New Roman" w:hAnsi="Times New Roman" w:cs="Times New Roman"/>
                <w:sz w:val="24"/>
                <w:szCs w:val="21"/>
              </w:rPr>
              <w:t>2026</w:t>
            </w:r>
            <w:r>
              <w:rPr>
                <w:rFonts w:hint="eastAsia" w:asciiTheme="minorEastAsia" w:hAnsiTheme="minorEastAsia"/>
                <w:sz w:val="24"/>
                <w:szCs w:val="21"/>
              </w:rPr>
              <w:t>年上市公司集体投资者交流活动。</w:t>
            </w:r>
          </w:p>
          <w:p w14:paraId="1C9A56F9">
            <w:pPr>
              <w:spacing w:line="360" w:lineRule="exact"/>
              <w:rPr>
                <w:rFonts w:asciiTheme="minorEastAsia" w:hAnsiTheme="minorEastAsia"/>
                <w:b/>
                <w:sz w:val="24"/>
                <w:szCs w:val="21"/>
              </w:rPr>
            </w:pPr>
            <w:r>
              <w:rPr>
                <w:rFonts w:asciiTheme="minorEastAsia" w:hAnsiTheme="minorEastAsia"/>
                <w:b/>
                <w:sz w:val="24"/>
                <w:szCs w:val="21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sz w:val="24"/>
                <w:szCs w:val="21"/>
              </w:rPr>
              <w:t>1.</w:t>
            </w:r>
            <w:r>
              <w:rPr>
                <w:rFonts w:asciiTheme="minorEastAsia" w:hAnsiTheme="minorEastAsia"/>
                <w:b/>
                <w:sz w:val="24"/>
                <w:szCs w:val="21"/>
              </w:rPr>
              <w:t>问</w:t>
            </w:r>
            <w:r>
              <w:rPr>
                <w:rFonts w:hint="eastAsia" w:asciiTheme="minorEastAsia" w:hAnsiTheme="minorEastAsia"/>
                <w:b/>
                <w:sz w:val="24"/>
                <w:szCs w:val="21"/>
              </w:rPr>
              <w:t>：中汽工程的主营业务、业务模式是什么？</w:t>
            </w:r>
            <w:r>
              <w:rPr>
                <w:rFonts w:asciiTheme="minorEastAsia" w:hAnsiTheme="minorEastAsia"/>
                <w:b/>
                <w:sz w:val="24"/>
                <w:szCs w:val="21"/>
              </w:rPr>
              <w:t xml:space="preserve"> </w:t>
            </w:r>
          </w:p>
          <w:p w14:paraId="4CEF38A8">
            <w:pPr>
              <w:ind w:firstLine="480" w:firstLineChars="200"/>
              <w:contextualSpacing/>
              <w:rPr>
                <w:rFonts w:asciiTheme="minorEastAsia" w:hAnsiTheme="minorEastAsia"/>
                <w:sz w:val="24"/>
                <w:szCs w:val="21"/>
              </w:rPr>
            </w:pPr>
            <w:r>
              <w:rPr>
                <w:rFonts w:hint="eastAsia" w:asciiTheme="minorEastAsia" w:hAnsiTheme="minorEastAsia"/>
                <w:sz w:val="24"/>
                <w:szCs w:val="21"/>
              </w:rPr>
              <w:t>答：</w:t>
            </w:r>
            <w:r>
              <w:rPr>
                <w:rFonts w:hint="eastAsia" w:ascii="Times New Roman" w:hAnsi="Times New Roman"/>
                <w:sz w:val="24"/>
              </w:rPr>
              <w:t>公司全资子公司中汽工程深耕汽车工程及装备领域40年，以工程技术服务、工程总承包、装备产线系统解决方案为三大核心业务，具备涵盖咨询、勘察、设计、研发、制造、安装、调试、交付、运维等环节的项目全周期、全产业链工程技术服务能力。</w:t>
            </w:r>
          </w:p>
          <w:p w14:paraId="6344C814">
            <w:pPr>
              <w:spacing w:line="360" w:lineRule="exact"/>
              <w:ind w:firstLine="482" w:firstLineChars="200"/>
              <w:rPr>
                <w:rFonts w:asciiTheme="minorEastAsia" w:hAnsiTheme="minorEastAsia"/>
                <w:b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1"/>
              </w:rPr>
              <w:t>2.</w:t>
            </w:r>
            <w:r>
              <w:rPr>
                <w:rFonts w:asciiTheme="minorEastAsia" w:hAnsiTheme="minorEastAsia"/>
                <w:b/>
                <w:sz w:val="24"/>
                <w:szCs w:val="21"/>
              </w:rPr>
              <w:t>问</w:t>
            </w:r>
            <w:r>
              <w:rPr>
                <w:rFonts w:hint="eastAsia" w:asciiTheme="minorEastAsia" w:hAnsiTheme="minorEastAsia"/>
                <w:b/>
                <w:sz w:val="24"/>
                <w:szCs w:val="21"/>
              </w:rPr>
              <w:t>：中汽工程发展现状如何？在行业中处于什么样的位置？主要客户是谁？</w:t>
            </w:r>
          </w:p>
          <w:p w14:paraId="60BC92DC">
            <w:pPr>
              <w:ind w:firstLine="480" w:firstLineChars="200"/>
              <w:contextualSpacing/>
              <w:rPr>
                <w:rFonts w:asciiTheme="minorEastAsia" w:hAnsiTheme="minorEastAsia"/>
                <w:sz w:val="24"/>
                <w:szCs w:val="21"/>
              </w:rPr>
            </w:pPr>
            <w:r>
              <w:rPr>
                <w:rFonts w:hint="eastAsia" w:asciiTheme="minorEastAsia" w:hAnsiTheme="minorEastAsia"/>
                <w:sz w:val="24"/>
                <w:szCs w:val="21"/>
              </w:rPr>
              <w:t>答：公司全资子公司中汽工程持续巩固与比亚迪、小米等大客户的战略合作；海外市场持续突破，在欧美及“一带一路”沿线接连中标宝马、沃尔沃、斯泰兰蒂斯、比亚迪等系列项目；紧抓智能制造产业风口，高端装备项目落地提速、多点开花，承接的北汽享界超级工厂项目，助力北汽与华为打造高端车型；强化项目全流程管控，实现在手项目高品质、高效率交付。拥有国内领先、世界一流行业地位，主要客户包括</w:t>
            </w:r>
            <w:r>
              <w:rPr>
                <w:rFonts w:asciiTheme="minorEastAsia" w:hAnsiTheme="minorEastAsia"/>
                <w:sz w:val="24"/>
                <w:szCs w:val="21"/>
              </w:rPr>
              <w:t>宝马、奔驰、大众、沃尔沃、上汽、北汽、长安、比亚迪、特斯拉、蔚来、小鹏、理想、小米等全球各大汽车集团，</w:t>
            </w:r>
            <w:r>
              <w:rPr>
                <w:rFonts w:hint="eastAsia" w:asciiTheme="minorEastAsia" w:hAnsiTheme="minorEastAsia"/>
                <w:sz w:val="24"/>
                <w:szCs w:val="21"/>
              </w:rPr>
              <w:t>全球新能源车企销量前20客户渗透率达80%。</w:t>
            </w:r>
          </w:p>
          <w:p w14:paraId="3D5AFBD5">
            <w:pPr>
              <w:spacing w:line="360" w:lineRule="exact"/>
              <w:rPr>
                <w:rFonts w:asciiTheme="minorEastAsia" w:hAnsiTheme="minorEastAsia"/>
                <w:b/>
                <w:sz w:val="24"/>
                <w:szCs w:val="21"/>
              </w:rPr>
            </w:pPr>
            <w:r>
              <w:rPr>
                <w:rFonts w:asciiTheme="minorEastAsia" w:hAnsiTheme="minorEastAsia"/>
                <w:b/>
                <w:sz w:val="24"/>
                <w:szCs w:val="21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sz w:val="24"/>
                <w:szCs w:val="21"/>
              </w:rPr>
              <w:t xml:space="preserve"> 3.</w:t>
            </w:r>
            <w:r>
              <w:rPr>
                <w:rFonts w:asciiTheme="minorEastAsia" w:hAnsiTheme="minorEastAsia"/>
                <w:b/>
                <w:sz w:val="24"/>
                <w:szCs w:val="21"/>
              </w:rPr>
              <w:t>问</w:t>
            </w:r>
            <w:r>
              <w:rPr>
                <w:rFonts w:hint="eastAsia" w:asciiTheme="minorEastAsia" w:hAnsiTheme="minorEastAsia"/>
                <w:b/>
                <w:sz w:val="24"/>
                <w:szCs w:val="21"/>
              </w:rPr>
              <w:t>：汽车工程业务国际化经营情况？毛利率水平？</w:t>
            </w:r>
          </w:p>
          <w:p w14:paraId="4B33E45B">
            <w:pPr>
              <w:ind w:firstLine="480" w:firstLineChars="200"/>
              <w:rPr>
                <w:rFonts w:asciiTheme="minorEastAsia" w:hAnsiTheme="minorEastAsia"/>
                <w:bCs/>
                <w:sz w:val="24"/>
                <w:szCs w:val="21"/>
              </w:rPr>
            </w:pPr>
            <w:r>
              <w:rPr>
                <w:rFonts w:asciiTheme="minorEastAsia" w:hAnsiTheme="minorEastAsia"/>
                <w:bCs/>
                <w:sz w:val="24"/>
                <w:szCs w:val="21"/>
              </w:rPr>
              <w:t>答</w:t>
            </w:r>
            <w:r>
              <w:rPr>
                <w:rFonts w:hint="eastAsia" w:asciiTheme="minorEastAsia" w:hAnsiTheme="minorEastAsia"/>
                <w:bCs/>
                <w:sz w:val="24"/>
                <w:szCs w:val="21"/>
              </w:rPr>
              <w:t>：近年来，汽车工程海外市场开拓高质量推进，订单占比显著提升。</w:t>
            </w:r>
            <w:r>
              <w:rPr>
                <w:rFonts w:ascii="Times New Roman" w:hAnsi="Times New Roman" w:cs="Times New Roman"/>
                <w:bCs/>
                <w:sz w:val="24"/>
                <w:szCs w:val="21"/>
              </w:rPr>
              <w:t>2025</w:t>
            </w:r>
            <w:r>
              <w:rPr>
                <w:rFonts w:hint="eastAsia" w:asciiTheme="minorEastAsia" w:hAnsiTheme="minorEastAsia"/>
                <w:bCs/>
                <w:sz w:val="24"/>
                <w:szCs w:val="21"/>
              </w:rPr>
              <w:t>年，海外新签合同额占比超</w:t>
            </w:r>
            <w:r>
              <w:rPr>
                <w:rFonts w:ascii="Times New Roman" w:hAnsi="Times New Roman" w:cs="Times New Roman"/>
                <w:bCs/>
                <w:sz w:val="24"/>
                <w:szCs w:val="21"/>
              </w:rPr>
              <w:t>40%</w:t>
            </w:r>
            <w:r>
              <w:rPr>
                <w:rFonts w:hint="eastAsia" w:asciiTheme="minorEastAsia" w:hAnsiTheme="minorEastAsia"/>
                <w:bCs/>
                <w:sz w:val="24"/>
                <w:szCs w:val="21"/>
              </w:rPr>
              <w:t>，深耕海外市场，开展创新技术及产品的研发与应用，深化属地供应商的开发与协作，提升属地化设计及标准转化水平，在欧洲、北美及“一带一路”沿线国家和地区不断实现项目突破。</w:t>
            </w:r>
            <w:r>
              <w:rPr>
                <w:rFonts w:ascii="Times New Roman" w:hAnsi="Times New Roman" w:cs="Times New Roman"/>
                <w:bCs/>
                <w:sz w:val="24"/>
                <w:szCs w:val="21"/>
              </w:rPr>
              <w:t>202</w:t>
            </w:r>
            <w:r>
              <w:rPr>
                <w:rFonts w:hint="eastAsia" w:ascii="Times New Roman" w:hAnsi="Times New Roman" w:cs="Times New Roman"/>
                <w:bCs/>
                <w:sz w:val="24"/>
                <w:szCs w:val="21"/>
                <w:lang w:val="en-US" w:eastAsia="zh-CN"/>
              </w:rPr>
              <w:t>6</w:t>
            </w:r>
            <w:r>
              <w:rPr>
                <w:rFonts w:hint="eastAsia" w:asciiTheme="minorEastAsia" w:hAnsiTheme="minorEastAsia"/>
                <w:bCs/>
                <w:sz w:val="24"/>
                <w:szCs w:val="21"/>
              </w:rPr>
              <w:t>年</w:t>
            </w:r>
            <w:r>
              <w:rPr>
                <w:rFonts w:hint="eastAsia" w:asciiTheme="minorEastAsia" w:hAnsiTheme="minorEastAsia"/>
                <w:bCs/>
                <w:sz w:val="24"/>
                <w:szCs w:val="21"/>
                <w:lang w:val="en-US" w:eastAsia="zh-CN"/>
              </w:rPr>
              <w:t>上半年</w:t>
            </w:r>
            <w:r>
              <w:rPr>
                <w:rFonts w:hint="eastAsia" w:asciiTheme="minorEastAsia" w:hAnsiTheme="minorEastAsia"/>
                <w:bCs/>
                <w:sz w:val="24"/>
                <w:szCs w:val="21"/>
              </w:rPr>
              <w:t>，</w:t>
            </w:r>
            <w:r>
              <w:rPr>
                <w:rFonts w:hint="eastAsia" w:ascii="Times New Roman" w:hAnsi="宋体" w:eastAsia="宋体" w:cs="Times New Roman"/>
                <w:sz w:val="24"/>
                <w:szCs w:val="24"/>
              </w:rPr>
              <w:t>汽车工程系统服务业务毛利率1</w:t>
            </w:r>
            <w:r>
              <w:rPr>
                <w:rFonts w:hint="eastAsia" w:ascii="Times New Roman" w:hAnsi="宋体" w:eastAsia="宋体" w:cs="Times New Roman"/>
                <w:sz w:val="24"/>
                <w:szCs w:val="24"/>
                <w:lang w:val="en-US" w:eastAsia="zh-CN"/>
              </w:rPr>
              <w:t>3.37</w:t>
            </w:r>
            <w:r>
              <w:rPr>
                <w:rFonts w:hint="eastAsia" w:ascii="Times New Roman" w:hAnsi="宋体" w:eastAsia="宋体" w:cs="Times New Roman"/>
                <w:sz w:val="24"/>
                <w:szCs w:val="24"/>
              </w:rPr>
              <w:t>%。</w:t>
            </w:r>
          </w:p>
          <w:p w14:paraId="00171327">
            <w:pPr>
              <w:ind w:firstLine="482" w:firstLineChars="200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4"/>
                <w:szCs w:val="24"/>
              </w:rPr>
              <w:t>4.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问：近年来我国汽车出口量快速增加，公司国际化业务的经营优势有哪些？</w:t>
            </w:r>
          </w:p>
          <w:p w14:paraId="4690EE13">
            <w:pPr>
              <w:ind w:firstLine="480" w:firstLineChars="20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答：公司深度融入全球汽车产业生态，积极响应国家“走出去”战略和“一带一路”倡议，凭借务实的战略思维、全球化的技术积累和卓越服务、成熟的国际化项目管理经验，构建起涵盖汽车工程系统服务、汽车出口服务的国际化经营能力体系，持续拓展海外市场广阔业务空间。</w:t>
            </w:r>
          </w:p>
          <w:p w14:paraId="67EAEAB0">
            <w:pPr>
              <w:ind w:firstLine="480" w:firstLineChars="20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汽车工程系统服务累计承接海外项目</w:t>
            </w:r>
            <w:r>
              <w:rPr>
                <w:rFonts w:ascii="Times New Roman" w:hAnsi="宋体" w:eastAsia="宋体" w:cs="Times New Roman"/>
                <w:sz w:val="24"/>
                <w:szCs w:val="24"/>
              </w:rPr>
              <w:t>650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余个，遍及全球</w:t>
            </w:r>
            <w:r>
              <w:rPr>
                <w:rFonts w:ascii="宋体" w:hAnsi="宋体" w:eastAsia="宋体" w:cs="宋体"/>
                <w:sz w:val="24"/>
                <w:szCs w:val="24"/>
              </w:rPr>
              <w:t>4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0余个国家，总体分布在欧洲和北美两个汽车工业发达地区、“一带一路”沿线国家和地区，设有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12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家海外分支机构，已达成海外业务全产业链、全周期的核心能力和成熟体系。</w:t>
            </w:r>
          </w:p>
          <w:p w14:paraId="5B4843ED">
            <w:pPr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汽车出口服务聚焦东欧、中亚、中东、南非等重点区域，构建起覆盖多品牌、多区域、全链条出口服务体系。</w:t>
            </w:r>
          </w:p>
          <w:p w14:paraId="3FB7F0FB">
            <w:pPr>
              <w:numPr>
                <w:ilvl w:val="0"/>
                <w:numId w:val="1"/>
              </w:numPr>
              <w:ind w:firstLine="482" w:firstLineChars="200"/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  <w:t>问：公司有装备自研制造中心，发生的研发费用主要用在哪些方面？</w:t>
            </w:r>
          </w:p>
          <w:p w14:paraId="20D8C23E">
            <w:pPr>
              <w:pStyle w:val="13"/>
              <w:ind w:left="0" w:firstLine="480" w:firstLineChars="200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答：2026年上半年，公司汽车工程系统服务研发投入强度4.11%，研发经费投入强度持续保持行业高位。前端设立苏州创新中心作为标准孵化核心平台，中端建成四大研发制造一体化中心，覆盖焊装、涂装、总装、铸锻及物流装备等领域，总建筑面积达30万平方米，实现新技术、新工艺、新装备的快速研发、中试迭代与落地应用；终端坚持以市场需求为导向，以各类汽车工程项目为创新试炼载体，加速“软件+硬件”一体化创新成果迭代升级与产业化落地，助力车企打造高端化、智能化、现代化标杆工厂，以工程实践反哺行业标准优化完善。</w:t>
            </w:r>
          </w:p>
          <w:p w14:paraId="02C69938">
            <w:pPr>
              <w:ind w:firstLine="482" w:firstLineChars="200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  <w:t>6</w:t>
            </w:r>
            <w:r>
              <w:rPr>
                <w:rFonts w:ascii="Times New Roman" w:hAnsi="Times New Roman" w:eastAsia="宋体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问：公司有机器人业务么？</w:t>
            </w:r>
          </w:p>
          <w:p w14:paraId="4E5998C5">
            <w:pPr>
              <w:ind w:firstLine="480" w:firstLineChars="20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答：公司工业机器人相关业务为汽车制造</w:t>
            </w:r>
            <w:r>
              <w:rPr>
                <w:rFonts w:ascii="宋体" w:hAnsi="宋体" w:eastAsia="宋体" w:cs="宋体"/>
                <w:sz w:val="24"/>
                <w:szCs w:val="24"/>
              </w:rPr>
              <w:t>装备产线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系统解决方案</w:t>
            </w:r>
            <w:r>
              <w:rPr>
                <w:rFonts w:ascii="宋体" w:hAnsi="宋体" w:eastAsia="宋体" w:cs="宋体"/>
                <w:sz w:val="24"/>
                <w:szCs w:val="24"/>
              </w:rPr>
              <w:t>，涵盖焊装、涂装、总装、铸锻四大工艺装备产线系统解决方案及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相关</w:t>
            </w:r>
            <w:r>
              <w:rPr>
                <w:rFonts w:ascii="宋体" w:hAnsi="宋体" w:eastAsia="宋体" w:cs="宋体"/>
                <w:sz w:val="24"/>
                <w:szCs w:val="24"/>
              </w:rPr>
              <w:t>配套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的</w:t>
            </w:r>
            <w:r>
              <w:rPr>
                <w:rFonts w:ascii="宋体" w:hAnsi="宋体" w:eastAsia="宋体" w:cs="宋体"/>
                <w:sz w:val="24"/>
                <w:szCs w:val="24"/>
              </w:rPr>
              <w:t>软件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应用等</w:t>
            </w:r>
            <w:r>
              <w:rPr>
                <w:rFonts w:ascii="宋体" w:hAnsi="宋体" w:eastAsia="宋体" w:cs="宋体"/>
                <w:sz w:val="24"/>
                <w:szCs w:val="24"/>
              </w:rPr>
              <w:t>。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工业机器人相关业务包括两类：一是</w:t>
            </w:r>
            <w:r>
              <w:rPr>
                <w:rFonts w:ascii="宋体" w:hAnsi="宋体" w:eastAsia="宋体" w:cs="宋体"/>
                <w:sz w:val="24"/>
                <w:szCs w:val="24"/>
              </w:rPr>
              <w:t>以系统集成为核心，围绕汽车制造工艺产线，为客户提供涵盖仿真设计、软硬件集成、安装调试、交付运维的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装备产线</w:t>
            </w:r>
            <w:r>
              <w:rPr>
                <w:rFonts w:ascii="宋体" w:hAnsi="宋体" w:eastAsia="宋体" w:cs="宋体"/>
                <w:sz w:val="24"/>
                <w:szCs w:val="24"/>
              </w:rPr>
              <w:t>系统解决方案。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二是提供面向汽车及其他机械制造业的智能物流机器人AGV，根据制造需求形成智能物流与柔性装配解决方案。</w:t>
            </w:r>
          </w:p>
          <w:p w14:paraId="782AED05">
            <w:pPr>
              <w:ind w:firstLine="482" w:firstLineChars="200"/>
              <w:rPr>
                <w:rFonts w:asciiTheme="minorEastAsia" w:hAnsiTheme="minorEastAsia"/>
                <w:b/>
                <w:sz w:val="24"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sz w:val="24"/>
                <w:szCs w:val="21"/>
                <w:lang w:val="en-US" w:eastAsia="zh-CN"/>
              </w:rPr>
              <w:t>7</w:t>
            </w:r>
            <w:r>
              <w:rPr>
                <w:rFonts w:ascii="Times New Roman" w:hAnsi="Times New Roman" w:cs="Times New Roman"/>
                <w:b/>
                <w:sz w:val="24"/>
                <w:szCs w:val="21"/>
              </w:rPr>
              <w:t>.</w:t>
            </w:r>
            <w:r>
              <w:rPr>
                <w:rFonts w:hint="eastAsia" w:asciiTheme="minorEastAsia" w:hAnsiTheme="minorEastAsia"/>
                <w:b/>
                <w:sz w:val="24"/>
                <w:szCs w:val="21"/>
              </w:rPr>
              <w:t>问：公司“十五五”时期的发展重点是什么？</w:t>
            </w:r>
          </w:p>
          <w:p w14:paraId="4DF2F531">
            <w:pPr>
              <w:ind w:firstLine="480" w:firstLineChars="20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答：公司“十五五”战略聚焦核心发展方向与核心竞争优势，构建以全球化布局拓展战略空间、以数智化转型重塑核心能力的双轮驱动体系，推动业务向服务化延伸、集成化整合、生态化运营升级，推动产业价值向高端跃升，切实增强科技创新、产业控制、安全支撑核心功能，持续提升全球系统服务能力与生态影响力。</w:t>
            </w:r>
          </w:p>
          <w:p w14:paraId="1C6CDA7A">
            <w:pPr>
              <w:ind w:firstLine="482" w:firstLineChars="200"/>
              <w:rPr>
                <w:rFonts w:asciiTheme="minorEastAsia" w:hAnsiTheme="minorEastAsia"/>
                <w:b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1"/>
              </w:rPr>
              <w:t>8.</w:t>
            </w:r>
            <w:r>
              <w:rPr>
                <w:rFonts w:hint="eastAsia" w:asciiTheme="minorEastAsia" w:hAnsiTheme="minorEastAsia"/>
                <w:b/>
                <w:sz w:val="24"/>
                <w:szCs w:val="21"/>
              </w:rPr>
              <w:t>问：公司如何加强市值管理？</w:t>
            </w:r>
          </w:p>
          <w:p w14:paraId="0236B674">
            <w:pPr>
              <w:ind w:firstLine="480" w:firstLineChars="200"/>
              <w:rPr>
                <w:rFonts w:hint="eastAsia" w:ascii="宋体" w:hAnsi="宋体" w:eastAsia="宋体" w:cstheme="minorEastAsia"/>
                <w:bCs/>
                <w:sz w:val="24"/>
              </w:rPr>
            </w:pPr>
            <w:r>
              <w:rPr>
                <w:rFonts w:hint="eastAsia" w:asciiTheme="minorEastAsia" w:hAnsiTheme="minorEastAsia"/>
                <w:sz w:val="24"/>
                <w:szCs w:val="21"/>
              </w:rPr>
              <w:t>答：</w:t>
            </w:r>
            <w:r>
              <w:rPr>
                <w:rFonts w:hint="eastAsia" w:ascii="宋体" w:hAnsi="宋体" w:eastAsia="宋体" w:cstheme="minorEastAsia"/>
                <w:bCs/>
                <w:sz w:val="24"/>
              </w:rPr>
              <w:t>您好！公司在“十四五”期间积极应对复杂外部环境，全面推进优战略、促改革、稳经营、强管理各项工作，业务结构实现优化，基本面稳健</w:t>
            </w:r>
            <w:r>
              <w:rPr>
                <w:rFonts w:ascii="宋体" w:hAnsi="宋体" w:eastAsia="宋体" w:cstheme="minorEastAsia"/>
                <w:bCs/>
                <w:sz w:val="24"/>
              </w:rPr>
              <w:t>。</w:t>
            </w:r>
            <w:r>
              <w:rPr>
                <w:rFonts w:hint="eastAsia" w:ascii="宋体" w:hAnsi="宋体" w:eastAsia="宋体" w:cstheme="minorEastAsia"/>
                <w:bCs/>
                <w:sz w:val="24"/>
              </w:rPr>
              <w:t>在具体机制和举措方面，公司制定《市值管理制度》和“提质增效重回报”行动方案，发布《估值提升计划》，实施股份回购，增加分红频次。下一步，公司将以“十五五”战略解码为抓手，推动规划各项部署从蓝图落到实处；坚持科技创新，大力发展新质生产力；优化现金分红机制，结合经营与现金流，合理提高分红力度，增强投资者回报；深化投资者关系管理，通过业绩说明会、调研及信息披露，主动传递价值，提升市场认同。</w:t>
            </w:r>
          </w:p>
          <w:p w14:paraId="6F98ACE0">
            <w:pPr>
              <w:ind w:firstLine="482" w:firstLineChars="200"/>
              <w:rPr>
                <w:rFonts w:ascii="Times New Roman" w:hAnsi="Times New Roman" w:cs="Times New Roman"/>
                <w:b/>
                <w:sz w:val="24"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sz w:val="24"/>
                <w:szCs w:val="21"/>
                <w:lang w:val="en-US" w:eastAsia="zh-CN"/>
              </w:rPr>
              <w:t>9.问：随着公司国际化的进程，</w:t>
            </w:r>
            <w:r>
              <w:rPr>
                <w:rFonts w:ascii="Times New Roman" w:hAnsi="Times New Roman" w:cs="Times New Roman"/>
                <w:b/>
                <w:sz w:val="24"/>
                <w:szCs w:val="21"/>
              </w:rPr>
              <w:t>有没有采取其他措施减少汇率波动对业绩的影响</w:t>
            </w:r>
            <w:r>
              <w:rPr>
                <w:rFonts w:hint="eastAsia" w:ascii="Times New Roman" w:hAnsi="Times New Roman" w:cs="Times New Roman"/>
                <w:b/>
                <w:sz w:val="24"/>
                <w:szCs w:val="21"/>
              </w:rPr>
              <w:t>？</w:t>
            </w:r>
          </w:p>
          <w:p w14:paraId="132CA9AC">
            <w:pPr>
              <w:ind w:firstLine="480" w:firstLineChars="200"/>
              <w:rPr>
                <w:rFonts w:hint="eastAsia" w:asciiTheme="minorEastAsia" w:hAnsiTheme="minorEastAsia"/>
                <w:sz w:val="24"/>
                <w:szCs w:val="21"/>
              </w:rPr>
            </w:pPr>
            <w:r>
              <w:rPr>
                <w:rFonts w:hint="eastAsia" w:asciiTheme="minorEastAsia" w:hAnsiTheme="minorEastAsia"/>
                <w:sz w:val="24"/>
                <w:szCs w:val="21"/>
                <w:lang w:val="en-US" w:eastAsia="zh-CN"/>
              </w:rPr>
              <w:t>答：</w:t>
            </w:r>
            <w:r>
              <w:rPr>
                <w:rFonts w:hint="eastAsia" w:asciiTheme="minorEastAsia" w:hAnsiTheme="minorEastAsia"/>
                <w:sz w:val="24"/>
                <w:szCs w:val="21"/>
              </w:rPr>
              <w:t>公司每月开展锁汇与敞口跟踪，按照锁汇策略保持锁汇比例；同时压降外币资产，从源头压缩风险敞口，有效隔离汇率波动对资产的侵蚀。</w:t>
            </w:r>
          </w:p>
          <w:p w14:paraId="1E90A320">
            <w:pPr>
              <w:ind w:firstLine="482" w:firstLineChars="200"/>
              <w:rPr>
                <w:rFonts w:hint="eastAsia" w:ascii="Times New Roman" w:hAnsi="Times New Roman" w:cs="Times New Roman"/>
                <w:b/>
                <w:sz w:val="24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sz w:val="24"/>
                <w:szCs w:val="21"/>
                <w:lang w:val="en-US" w:eastAsia="zh-CN"/>
              </w:rPr>
              <w:t>10.问：公司发生的结构性变化主要指的是什么？</w:t>
            </w:r>
          </w:p>
          <w:p w14:paraId="0B3A7978">
            <w:pPr>
              <w:numPr>
                <w:ilvl w:val="0"/>
                <w:numId w:val="0"/>
              </w:numPr>
              <w:ind w:firstLine="480" w:firstLineChars="200"/>
              <w:rPr>
                <w:rFonts w:hint="eastAsia" w:ascii="Times New Roman" w:hAnsi="宋体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1"/>
                <w:lang w:val="en-US" w:eastAsia="zh-CN"/>
              </w:rPr>
              <w:t>答：“十四五”期间，公司的成长方向、业务规模、盈利能力均已发生结构性改变，</w:t>
            </w:r>
            <w:r>
              <w:rPr>
                <w:rFonts w:hint="eastAsia" w:ascii="Times New Roman" w:hAnsi="宋体" w:eastAsia="宋体" w:cs="Times New Roman"/>
                <w:sz w:val="24"/>
                <w:szCs w:val="24"/>
                <w:lang w:val="en-US" w:eastAsia="zh-CN"/>
              </w:rPr>
              <w:t>2026</w:t>
            </w:r>
            <w:r>
              <w:rPr>
                <w:rFonts w:hint="eastAsia" w:asciiTheme="minorEastAsia" w:hAnsiTheme="minorEastAsia"/>
                <w:sz w:val="24"/>
                <w:szCs w:val="21"/>
                <w:lang w:val="en-US" w:eastAsia="zh-CN"/>
              </w:rPr>
              <w:t>年上半年</w:t>
            </w:r>
            <w:r>
              <w:rPr>
                <w:rFonts w:hint="eastAsia" w:ascii="Times New Roman" w:hAnsi="宋体" w:eastAsia="宋体" w:cs="Times New Roman"/>
                <w:b w:val="0"/>
                <w:bCs/>
                <w:sz w:val="24"/>
                <w:szCs w:val="24"/>
              </w:rPr>
              <w:t>营收</w:t>
            </w:r>
            <w:r>
              <w:rPr>
                <w:rFonts w:hint="eastAsia" w:ascii="Times New Roman" w:hAnsi="宋体" w:eastAsia="宋体" w:cs="Times New Roman"/>
                <w:b w:val="0"/>
                <w:bCs/>
                <w:sz w:val="24"/>
                <w:szCs w:val="24"/>
                <w:lang w:val="en-US" w:eastAsia="zh-CN"/>
              </w:rPr>
              <w:t>和毛利占比</w:t>
            </w:r>
            <w:r>
              <w:rPr>
                <w:rFonts w:hint="eastAsia" w:ascii="Times New Roman" w:hAnsi="宋体" w:eastAsia="宋体" w:cs="Times New Roman"/>
                <w:b w:val="0"/>
                <w:bCs/>
                <w:sz w:val="24"/>
                <w:szCs w:val="24"/>
              </w:rPr>
              <w:t>方面，</w:t>
            </w:r>
            <w:r>
              <w:rPr>
                <w:rFonts w:hint="eastAsia" w:ascii="Times New Roman" w:hAnsi="宋体" w:eastAsia="宋体" w:cs="Times New Roman"/>
                <w:sz w:val="24"/>
                <w:szCs w:val="24"/>
              </w:rPr>
              <w:t>汽车工程系统服务业务营收占比4</w:t>
            </w:r>
            <w:r>
              <w:rPr>
                <w:rFonts w:hint="eastAsia" w:ascii="Times New Roman" w:hAnsi="宋体" w:eastAsia="宋体" w:cs="Times New Roman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Times New Roman" w:hAnsi="宋体" w:eastAsia="宋体" w:cs="Times New Roman"/>
                <w:sz w:val="24"/>
                <w:szCs w:val="24"/>
              </w:rPr>
              <w:t>.</w:t>
            </w:r>
            <w:r>
              <w:rPr>
                <w:rFonts w:hint="eastAsia" w:ascii="Times New Roman" w:hAnsi="宋体" w:eastAsia="宋体" w:cs="Times New Roman"/>
                <w:sz w:val="24"/>
                <w:szCs w:val="24"/>
                <w:lang w:val="en-US" w:eastAsia="zh-CN"/>
              </w:rPr>
              <w:t>54</w:t>
            </w:r>
            <w:r>
              <w:rPr>
                <w:rFonts w:hint="eastAsia" w:ascii="Times New Roman" w:hAnsi="宋体" w:eastAsia="宋体" w:cs="Times New Roman"/>
                <w:sz w:val="24"/>
                <w:szCs w:val="24"/>
              </w:rPr>
              <w:t>%</w:t>
            </w:r>
            <w:r>
              <w:rPr>
                <w:rFonts w:hint="eastAsia" w:ascii="Times New Roman" w:hAnsi="宋体" w:eastAsia="宋体" w:cs="Times New Roman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Times New Roman" w:hAnsi="宋体" w:eastAsia="宋体" w:cs="Times New Roman"/>
                <w:sz w:val="24"/>
                <w:szCs w:val="24"/>
                <w:lang w:val="en-US" w:eastAsia="zh-CN"/>
              </w:rPr>
              <w:t>毛利占比59.10%，公司已成为以“汽车工程系统服务”为核心，盈利模式从“低毛利贸易商”向“高毛利工程服务商”迁移。</w:t>
            </w:r>
          </w:p>
          <w:p w14:paraId="2AE91880">
            <w:pPr>
              <w:numPr>
                <w:ilvl w:val="0"/>
                <w:numId w:val="2"/>
              </w:numPr>
              <w:ind w:firstLine="482" w:firstLineChars="200"/>
              <w:rPr>
                <w:rFonts w:hint="eastAsia" w:ascii="Times New Roman" w:hAnsi="宋体" w:eastAsia="宋体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宋体" w:eastAsia="宋体" w:cs="Times New Roman"/>
                <w:b/>
                <w:bCs/>
                <w:sz w:val="24"/>
                <w:szCs w:val="24"/>
                <w:lang w:val="en-US" w:eastAsia="zh-CN"/>
              </w:rPr>
              <w:t>问：公司电池流通业务未来的规划？</w:t>
            </w:r>
          </w:p>
          <w:p w14:paraId="32DEE00E">
            <w:pPr>
              <w:numPr>
                <w:ilvl w:val="0"/>
                <w:numId w:val="0"/>
              </w:numPr>
              <w:rPr>
                <w:rFonts w:hint="default" w:ascii="Times New Roman" w:hAnsi="宋体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宋体" w:eastAsia="宋体" w:cs="Times New Roman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Theme="minorEastAsia" w:hAnsiTheme="minorEastAsia"/>
                <w:sz w:val="24"/>
                <w:szCs w:val="21"/>
                <w:lang w:val="en-US" w:eastAsia="zh-CN"/>
              </w:rPr>
              <w:t>答：公司通过参股企业“电池之家”进入电池流通服务业务，依托电池之家构建覆盖动力电池“检测-估值-交易”全链条服务体系，拓展电池领域上下游客户，推动产业链资源整合和价值共创。</w:t>
            </w:r>
            <w:r>
              <w:rPr>
                <w:rFonts w:hint="eastAsia" w:ascii="Times New Roman" w:hAnsi="宋体" w:eastAsia="宋体" w:cs="Times New Roman"/>
                <w:sz w:val="24"/>
                <w:szCs w:val="24"/>
                <w:lang w:val="en-US" w:eastAsia="zh-CN"/>
              </w:rPr>
              <w:t>2026</w:t>
            </w:r>
            <w:r>
              <w:rPr>
                <w:rFonts w:hint="eastAsia" w:asciiTheme="minorEastAsia" w:hAnsiTheme="minorEastAsia"/>
                <w:sz w:val="24"/>
                <w:szCs w:val="21"/>
                <w:lang w:val="en-US" w:eastAsia="zh-CN"/>
              </w:rPr>
              <w:t>年上半年与多家电池厂商开展合作并实现盈利，电池流通服务业务取得实质突破。</w:t>
            </w:r>
          </w:p>
        </w:tc>
      </w:tr>
      <w:tr w14:paraId="26EF27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8" w:type="dxa"/>
            <w:vAlign w:val="center"/>
          </w:tcPr>
          <w:p w14:paraId="689BD854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附件清单</w:t>
            </w:r>
          </w:p>
          <w:p w14:paraId="4AD76CAF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（如有）</w:t>
            </w:r>
          </w:p>
        </w:tc>
        <w:tc>
          <w:tcPr>
            <w:tcW w:w="6854" w:type="dxa"/>
            <w:vAlign w:val="center"/>
          </w:tcPr>
          <w:p w14:paraId="45714EF7">
            <w:pPr>
              <w:pStyle w:val="13"/>
              <w:spacing w:line="360" w:lineRule="exact"/>
              <w:ind w:firstLine="0" w:firstLineChars="0"/>
              <w:rPr>
                <w:rFonts w:asciiTheme="minorEastAsia" w:hAnsiTheme="minorEastAsia"/>
                <w:b/>
                <w:sz w:val="24"/>
                <w:szCs w:val="21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1"/>
              </w:rPr>
              <w:t>无</w:t>
            </w:r>
          </w:p>
        </w:tc>
      </w:tr>
      <w:tr w14:paraId="5BFF68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8" w:type="dxa"/>
            <w:vAlign w:val="center"/>
          </w:tcPr>
          <w:p w14:paraId="5344BE06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日期</w:t>
            </w:r>
          </w:p>
        </w:tc>
        <w:tc>
          <w:tcPr>
            <w:tcW w:w="6854" w:type="dxa"/>
          </w:tcPr>
          <w:p w14:paraId="0F3AC0B4">
            <w:pPr>
              <w:rPr>
                <w:rFonts w:asciiTheme="minorEastAsia" w:hAnsiTheme="minorEastAsia"/>
                <w:b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1"/>
              </w:rPr>
              <w:t>2026</w:t>
            </w:r>
            <w:r>
              <w:rPr>
                <w:rFonts w:hint="eastAsia" w:asciiTheme="minorEastAsia" w:hAnsiTheme="minorEastAsia"/>
                <w:b/>
                <w:sz w:val="24"/>
                <w:szCs w:val="21"/>
              </w:rPr>
              <w:t>年</w:t>
            </w:r>
            <w:r>
              <w:rPr>
                <w:rFonts w:ascii="Times New Roman" w:hAnsi="Times New Roman" w:cs="Times New Roman"/>
                <w:b/>
                <w:sz w:val="24"/>
                <w:szCs w:val="21"/>
              </w:rPr>
              <w:t>9</w:t>
            </w:r>
            <w:r>
              <w:rPr>
                <w:rFonts w:hint="eastAsia" w:asciiTheme="minorEastAsia" w:hAnsiTheme="minorEastAsia"/>
                <w:b/>
                <w:sz w:val="24"/>
                <w:szCs w:val="21"/>
              </w:rPr>
              <w:t>月</w:t>
            </w:r>
            <w:r>
              <w:rPr>
                <w:rFonts w:ascii="Times New Roman" w:hAnsi="Times New Roman" w:cs="Times New Roman"/>
                <w:b/>
                <w:sz w:val="24"/>
                <w:szCs w:val="21"/>
              </w:rPr>
              <w:t>21</w:t>
            </w:r>
            <w:r>
              <w:rPr>
                <w:rFonts w:hint="eastAsia" w:asciiTheme="minorEastAsia" w:hAnsiTheme="minorEastAsia"/>
                <w:b/>
                <w:sz w:val="24"/>
                <w:szCs w:val="21"/>
              </w:rPr>
              <w:t>日</w:t>
            </w:r>
          </w:p>
        </w:tc>
      </w:tr>
    </w:tbl>
    <w:p w14:paraId="15B27AD4">
      <w:pPr>
        <w:rPr>
          <w:rFonts w:hint="eastAsia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894489049"/>
      <w:docPartObj>
        <w:docPartGallery w:val="autotext"/>
      </w:docPartObj>
    </w:sdtPr>
    <w:sdtEndPr>
      <w:rPr>
        <w:rFonts w:ascii="Times New Roman" w:hAnsi="Times New Roman" w:cs="Times New Roman"/>
      </w:rPr>
    </w:sdtEndPr>
    <w:sdtContent>
      <w:p w14:paraId="2B8BF415">
        <w:pPr>
          <w:pStyle w:val="4"/>
          <w:jc w:val="center"/>
          <w:rPr>
            <w:rFonts w:hint="eastAsia"/>
          </w:rPr>
        </w:pP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 xml:space="preserve">PAGE   \* MERGEFORMAT</w:instrText>
        </w:r>
        <w:r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lang w:val="zh-CN"/>
          </w:rPr>
          <w:t>1</w:t>
        </w:r>
        <w:r>
          <w:rPr>
            <w:rFonts w:ascii="Times New Roman" w:hAnsi="Times New Roman" w:cs="Times New Roman"/>
          </w:rPr>
          <w:fldChar w:fldCharType="end"/>
        </w:r>
      </w:p>
    </w:sdtContent>
  </w:sdt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54F519">
    <w:pPr>
      <w:pStyle w:val="5"/>
      <w:jc w:val="left"/>
    </w:pPr>
    <w:r>
      <w:rPr>
        <w:rFonts w:hint="eastAsia"/>
      </w:rPr>
      <w:t>证券代码：</w:t>
    </w:r>
    <w:r>
      <w:rPr>
        <w:rFonts w:ascii="Times New Roman" w:hAnsi="Times New Roman" w:cs="Times New Roman"/>
      </w:rPr>
      <w:t>600335</w:t>
    </w:r>
    <w:r>
      <w:rPr>
        <w:rFonts w:hint="eastAsia"/>
      </w:rPr>
      <w:t xml:space="preserve"> </w:t>
    </w:r>
    <w:r>
      <w:t xml:space="preserve">                                                         </w:t>
    </w:r>
    <w:r>
      <w:rPr>
        <w:rFonts w:hint="eastAsia"/>
      </w:rPr>
      <w:t>证券简称：国机汽车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CD3BD"/>
    <w:multiLevelType w:val="singleLevel"/>
    <w:tmpl w:val="1D2CD3BD"/>
    <w:lvl w:ilvl="0" w:tentative="0">
      <w:start w:val="5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7B9438C3"/>
    <w:multiLevelType w:val="singleLevel"/>
    <w:tmpl w:val="7B9438C3"/>
    <w:lvl w:ilvl="0" w:tentative="0">
      <w:start w:val="1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WRhOWU4YmU5Y2JjODBkNTE5N2EyZmZiOWZiYjVjODMifQ=="/>
  </w:docVars>
  <w:rsids>
    <w:rsidRoot w:val="00847310"/>
    <w:rsid w:val="00002FE6"/>
    <w:rsid w:val="00004A2F"/>
    <w:rsid w:val="00011FEB"/>
    <w:rsid w:val="00012646"/>
    <w:rsid w:val="000132DE"/>
    <w:rsid w:val="000149BD"/>
    <w:rsid w:val="00016FA6"/>
    <w:rsid w:val="0001798C"/>
    <w:rsid w:val="000221F3"/>
    <w:rsid w:val="00030B2D"/>
    <w:rsid w:val="000356A4"/>
    <w:rsid w:val="00044D4D"/>
    <w:rsid w:val="00051055"/>
    <w:rsid w:val="00054114"/>
    <w:rsid w:val="000631D4"/>
    <w:rsid w:val="00063582"/>
    <w:rsid w:val="000635BF"/>
    <w:rsid w:val="00063773"/>
    <w:rsid w:val="0006483A"/>
    <w:rsid w:val="000668CC"/>
    <w:rsid w:val="00071E83"/>
    <w:rsid w:val="0007490D"/>
    <w:rsid w:val="000866E5"/>
    <w:rsid w:val="00092159"/>
    <w:rsid w:val="00095FF1"/>
    <w:rsid w:val="00097CA6"/>
    <w:rsid w:val="000A053D"/>
    <w:rsid w:val="000A3C5D"/>
    <w:rsid w:val="000B15AD"/>
    <w:rsid w:val="000B2511"/>
    <w:rsid w:val="000B3253"/>
    <w:rsid w:val="000B558B"/>
    <w:rsid w:val="000C7159"/>
    <w:rsid w:val="000E47AB"/>
    <w:rsid w:val="000E634C"/>
    <w:rsid w:val="000F5ACB"/>
    <w:rsid w:val="00100F44"/>
    <w:rsid w:val="00114DE5"/>
    <w:rsid w:val="00116DD7"/>
    <w:rsid w:val="00120CC5"/>
    <w:rsid w:val="00123673"/>
    <w:rsid w:val="00126FBE"/>
    <w:rsid w:val="0014753D"/>
    <w:rsid w:val="00147C4F"/>
    <w:rsid w:val="001530C2"/>
    <w:rsid w:val="001603CD"/>
    <w:rsid w:val="00160DBC"/>
    <w:rsid w:val="001618BA"/>
    <w:rsid w:val="0016348D"/>
    <w:rsid w:val="00171788"/>
    <w:rsid w:val="00175BCF"/>
    <w:rsid w:val="00175F5C"/>
    <w:rsid w:val="0017752B"/>
    <w:rsid w:val="00177D6C"/>
    <w:rsid w:val="00180C23"/>
    <w:rsid w:val="001833BA"/>
    <w:rsid w:val="00183C7C"/>
    <w:rsid w:val="00186E00"/>
    <w:rsid w:val="00194600"/>
    <w:rsid w:val="00196CEC"/>
    <w:rsid w:val="001A03E5"/>
    <w:rsid w:val="001A18BF"/>
    <w:rsid w:val="001A31AE"/>
    <w:rsid w:val="001A487A"/>
    <w:rsid w:val="001A5535"/>
    <w:rsid w:val="001A6893"/>
    <w:rsid w:val="001B21A5"/>
    <w:rsid w:val="001B4016"/>
    <w:rsid w:val="001B75D4"/>
    <w:rsid w:val="001C1FFA"/>
    <w:rsid w:val="001C70B8"/>
    <w:rsid w:val="001D7E7F"/>
    <w:rsid w:val="001E33BA"/>
    <w:rsid w:val="001E511A"/>
    <w:rsid w:val="001F03E9"/>
    <w:rsid w:val="001F6A7A"/>
    <w:rsid w:val="00200CA5"/>
    <w:rsid w:val="00201459"/>
    <w:rsid w:val="0020473A"/>
    <w:rsid w:val="00205E7B"/>
    <w:rsid w:val="0021001D"/>
    <w:rsid w:val="002127BF"/>
    <w:rsid w:val="00216C5F"/>
    <w:rsid w:val="00224836"/>
    <w:rsid w:val="00225E22"/>
    <w:rsid w:val="00230488"/>
    <w:rsid w:val="00231929"/>
    <w:rsid w:val="00235FDD"/>
    <w:rsid w:val="00245A3A"/>
    <w:rsid w:val="00245E78"/>
    <w:rsid w:val="0024685C"/>
    <w:rsid w:val="002468E6"/>
    <w:rsid w:val="00246FB3"/>
    <w:rsid w:val="0025254F"/>
    <w:rsid w:val="00254CB5"/>
    <w:rsid w:val="00257651"/>
    <w:rsid w:val="00257FD7"/>
    <w:rsid w:val="002624B3"/>
    <w:rsid w:val="00267005"/>
    <w:rsid w:val="0027082F"/>
    <w:rsid w:val="00273E64"/>
    <w:rsid w:val="00274CAB"/>
    <w:rsid w:val="00284E80"/>
    <w:rsid w:val="00285231"/>
    <w:rsid w:val="002879DD"/>
    <w:rsid w:val="002940FE"/>
    <w:rsid w:val="002A74C7"/>
    <w:rsid w:val="002C2C42"/>
    <w:rsid w:val="002C3BAA"/>
    <w:rsid w:val="002D28A0"/>
    <w:rsid w:val="002E27BB"/>
    <w:rsid w:val="002E2B8F"/>
    <w:rsid w:val="002F20A9"/>
    <w:rsid w:val="002F6EF9"/>
    <w:rsid w:val="00302430"/>
    <w:rsid w:val="003045AC"/>
    <w:rsid w:val="00305B7F"/>
    <w:rsid w:val="00317955"/>
    <w:rsid w:val="00321574"/>
    <w:rsid w:val="0032487F"/>
    <w:rsid w:val="003258C7"/>
    <w:rsid w:val="00327DF8"/>
    <w:rsid w:val="00332430"/>
    <w:rsid w:val="0033370F"/>
    <w:rsid w:val="003402CF"/>
    <w:rsid w:val="0034235C"/>
    <w:rsid w:val="00354ED6"/>
    <w:rsid w:val="003645C8"/>
    <w:rsid w:val="00365F0B"/>
    <w:rsid w:val="00371A49"/>
    <w:rsid w:val="0037333E"/>
    <w:rsid w:val="003763A7"/>
    <w:rsid w:val="00380B6D"/>
    <w:rsid w:val="003965F3"/>
    <w:rsid w:val="00397164"/>
    <w:rsid w:val="003A1577"/>
    <w:rsid w:val="003A202A"/>
    <w:rsid w:val="003A4C4B"/>
    <w:rsid w:val="003B20B9"/>
    <w:rsid w:val="003B63C0"/>
    <w:rsid w:val="003C11AA"/>
    <w:rsid w:val="003C7B62"/>
    <w:rsid w:val="003D0300"/>
    <w:rsid w:val="003D13EA"/>
    <w:rsid w:val="003D166E"/>
    <w:rsid w:val="003D1B9B"/>
    <w:rsid w:val="003E55A0"/>
    <w:rsid w:val="003E6B0D"/>
    <w:rsid w:val="003E7CC7"/>
    <w:rsid w:val="003F026F"/>
    <w:rsid w:val="003F31A8"/>
    <w:rsid w:val="003F4929"/>
    <w:rsid w:val="003F60DB"/>
    <w:rsid w:val="003F6F66"/>
    <w:rsid w:val="00400238"/>
    <w:rsid w:val="004033FC"/>
    <w:rsid w:val="004066BC"/>
    <w:rsid w:val="00407202"/>
    <w:rsid w:val="00407CBC"/>
    <w:rsid w:val="00407F35"/>
    <w:rsid w:val="004101BE"/>
    <w:rsid w:val="0041101C"/>
    <w:rsid w:val="004110EB"/>
    <w:rsid w:val="0041249B"/>
    <w:rsid w:val="00414080"/>
    <w:rsid w:val="004171D5"/>
    <w:rsid w:val="00423717"/>
    <w:rsid w:val="004244CC"/>
    <w:rsid w:val="004252E9"/>
    <w:rsid w:val="00427FD9"/>
    <w:rsid w:val="00430012"/>
    <w:rsid w:val="004301BF"/>
    <w:rsid w:val="00434FE4"/>
    <w:rsid w:val="00435ED3"/>
    <w:rsid w:val="0045020E"/>
    <w:rsid w:val="00451345"/>
    <w:rsid w:val="004578D3"/>
    <w:rsid w:val="00460345"/>
    <w:rsid w:val="00465EFA"/>
    <w:rsid w:val="0046668B"/>
    <w:rsid w:val="00466CA7"/>
    <w:rsid w:val="00467C31"/>
    <w:rsid w:val="00470EA6"/>
    <w:rsid w:val="004778AD"/>
    <w:rsid w:val="004815C6"/>
    <w:rsid w:val="0049008C"/>
    <w:rsid w:val="00491FB3"/>
    <w:rsid w:val="00493B3F"/>
    <w:rsid w:val="00497C3E"/>
    <w:rsid w:val="004A0C59"/>
    <w:rsid w:val="004A4F02"/>
    <w:rsid w:val="004A5378"/>
    <w:rsid w:val="004A5A35"/>
    <w:rsid w:val="004A60BE"/>
    <w:rsid w:val="004A748E"/>
    <w:rsid w:val="004B4737"/>
    <w:rsid w:val="004D1021"/>
    <w:rsid w:val="004D7DA5"/>
    <w:rsid w:val="004E09D2"/>
    <w:rsid w:val="004E54FC"/>
    <w:rsid w:val="004E694D"/>
    <w:rsid w:val="004E70D8"/>
    <w:rsid w:val="004E7496"/>
    <w:rsid w:val="004F0375"/>
    <w:rsid w:val="004F09D5"/>
    <w:rsid w:val="004F29A7"/>
    <w:rsid w:val="005000DD"/>
    <w:rsid w:val="005078F1"/>
    <w:rsid w:val="00510102"/>
    <w:rsid w:val="00522345"/>
    <w:rsid w:val="005256B6"/>
    <w:rsid w:val="005268D3"/>
    <w:rsid w:val="005324EE"/>
    <w:rsid w:val="00532CFD"/>
    <w:rsid w:val="005336FA"/>
    <w:rsid w:val="0053401B"/>
    <w:rsid w:val="00534D86"/>
    <w:rsid w:val="00536BC4"/>
    <w:rsid w:val="005377BF"/>
    <w:rsid w:val="00550B33"/>
    <w:rsid w:val="005522C1"/>
    <w:rsid w:val="0055355E"/>
    <w:rsid w:val="00553D41"/>
    <w:rsid w:val="005547C8"/>
    <w:rsid w:val="00556677"/>
    <w:rsid w:val="00562268"/>
    <w:rsid w:val="005722D1"/>
    <w:rsid w:val="005735E2"/>
    <w:rsid w:val="00582F37"/>
    <w:rsid w:val="00585DCD"/>
    <w:rsid w:val="0059203A"/>
    <w:rsid w:val="00592B92"/>
    <w:rsid w:val="00597D77"/>
    <w:rsid w:val="005A0C7A"/>
    <w:rsid w:val="005A14FA"/>
    <w:rsid w:val="005A1628"/>
    <w:rsid w:val="005A28B7"/>
    <w:rsid w:val="005A7471"/>
    <w:rsid w:val="005B10D0"/>
    <w:rsid w:val="005B1CA1"/>
    <w:rsid w:val="005B2C0D"/>
    <w:rsid w:val="005B4529"/>
    <w:rsid w:val="005B777D"/>
    <w:rsid w:val="005C41E5"/>
    <w:rsid w:val="005D0C20"/>
    <w:rsid w:val="005D6656"/>
    <w:rsid w:val="005D7CFA"/>
    <w:rsid w:val="005E3BA2"/>
    <w:rsid w:val="005E4130"/>
    <w:rsid w:val="005E71AD"/>
    <w:rsid w:val="005F13D4"/>
    <w:rsid w:val="005F6375"/>
    <w:rsid w:val="005F7F0F"/>
    <w:rsid w:val="006017D6"/>
    <w:rsid w:val="00606C9E"/>
    <w:rsid w:val="00607D0A"/>
    <w:rsid w:val="006151FA"/>
    <w:rsid w:val="00616BBB"/>
    <w:rsid w:val="0061710F"/>
    <w:rsid w:val="00624948"/>
    <w:rsid w:val="00626243"/>
    <w:rsid w:val="00634524"/>
    <w:rsid w:val="00641F61"/>
    <w:rsid w:val="00642CBA"/>
    <w:rsid w:val="00643F32"/>
    <w:rsid w:val="00644B96"/>
    <w:rsid w:val="006464C4"/>
    <w:rsid w:val="0065074C"/>
    <w:rsid w:val="00650B2A"/>
    <w:rsid w:val="00653321"/>
    <w:rsid w:val="006575A7"/>
    <w:rsid w:val="006640D8"/>
    <w:rsid w:val="006659A8"/>
    <w:rsid w:val="0066696D"/>
    <w:rsid w:val="006705A3"/>
    <w:rsid w:val="00673734"/>
    <w:rsid w:val="00680090"/>
    <w:rsid w:val="006854FC"/>
    <w:rsid w:val="00685774"/>
    <w:rsid w:val="00687F7A"/>
    <w:rsid w:val="00690867"/>
    <w:rsid w:val="00690F96"/>
    <w:rsid w:val="00694C74"/>
    <w:rsid w:val="006963B7"/>
    <w:rsid w:val="006A051F"/>
    <w:rsid w:val="006A654C"/>
    <w:rsid w:val="006B7787"/>
    <w:rsid w:val="006C0438"/>
    <w:rsid w:val="006C1ABF"/>
    <w:rsid w:val="006C2F9C"/>
    <w:rsid w:val="006E25C7"/>
    <w:rsid w:val="006E3AAA"/>
    <w:rsid w:val="006E764E"/>
    <w:rsid w:val="006F1611"/>
    <w:rsid w:val="006F57A6"/>
    <w:rsid w:val="006F59D6"/>
    <w:rsid w:val="006F6603"/>
    <w:rsid w:val="006F6B7F"/>
    <w:rsid w:val="00703FF0"/>
    <w:rsid w:val="00704C4D"/>
    <w:rsid w:val="007107F4"/>
    <w:rsid w:val="00711F65"/>
    <w:rsid w:val="00712630"/>
    <w:rsid w:val="00713035"/>
    <w:rsid w:val="00713E63"/>
    <w:rsid w:val="007148E8"/>
    <w:rsid w:val="00720A6E"/>
    <w:rsid w:val="007316C3"/>
    <w:rsid w:val="0073306C"/>
    <w:rsid w:val="007379A8"/>
    <w:rsid w:val="00742727"/>
    <w:rsid w:val="0074314B"/>
    <w:rsid w:val="007465F1"/>
    <w:rsid w:val="0075501B"/>
    <w:rsid w:val="00763133"/>
    <w:rsid w:val="00770A33"/>
    <w:rsid w:val="00774260"/>
    <w:rsid w:val="00776199"/>
    <w:rsid w:val="00783367"/>
    <w:rsid w:val="00787E50"/>
    <w:rsid w:val="007905F1"/>
    <w:rsid w:val="007911D9"/>
    <w:rsid w:val="007A040A"/>
    <w:rsid w:val="007A13E2"/>
    <w:rsid w:val="007A2E12"/>
    <w:rsid w:val="007A2E76"/>
    <w:rsid w:val="007A3947"/>
    <w:rsid w:val="007B02B9"/>
    <w:rsid w:val="007B043A"/>
    <w:rsid w:val="007B2C11"/>
    <w:rsid w:val="007C36F7"/>
    <w:rsid w:val="007C37F1"/>
    <w:rsid w:val="007C5B1E"/>
    <w:rsid w:val="007C5EDA"/>
    <w:rsid w:val="007C7ECE"/>
    <w:rsid w:val="007D274C"/>
    <w:rsid w:val="007D6842"/>
    <w:rsid w:val="007E14C0"/>
    <w:rsid w:val="007E4157"/>
    <w:rsid w:val="007F176B"/>
    <w:rsid w:val="007F1D6D"/>
    <w:rsid w:val="007F1DB7"/>
    <w:rsid w:val="007F2AA8"/>
    <w:rsid w:val="007F3C28"/>
    <w:rsid w:val="007F5A59"/>
    <w:rsid w:val="007F6F02"/>
    <w:rsid w:val="007F7292"/>
    <w:rsid w:val="00800A58"/>
    <w:rsid w:val="008052BD"/>
    <w:rsid w:val="00810A43"/>
    <w:rsid w:val="008335E9"/>
    <w:rsid w:val="00847310"/>
    <w:rsid w:val="008547FE"/>
    <w:rsid w:val="00867379"/>
    <w:rsid w:val="00867D64"/>
    <w:rsid w:val="00870CB1"/>
    <w:rsid w:val="008711A4"/>
    <w:rsid w:val="0087592C"/>
    <w:rsid w:val="0087599E"/>
    <w:rsid w:val="00887B46"/>
    <w:rsid w:val="00892621"/>
    <w:rsid w:val="00893905"/>
    <w:rsid w:val="0089656C"/>
    <w:rsid w:val="008A13E4"/>
    <w:rsid w:val="008A2AD5"/>
    <w:rsid w:val="008A6843"/>
    <w:rsid w:val="008B1271"/>
    <w:rsid w:val="008B3157"/>
    <w:rsid w:val="008C3391"/>
    <w:rsid w:val="008C5224"/>
    <w:rsid w:val="008C5D01"/>
    <w:rsid w:val="008D2972"/>
    <w:rsid w:val="008D3043"/>
    <w:rsid w:val="008D6623"/>
    <w:rsid w:val="008E0228"/>
    <w:rsid w:val="008E3306"/>
    <w:rsid w:val="008E4E42"/>
    <w:rsid w:val="008F0A13"/>
    <w:rsid w:val="008F1665"/>
    <w:rsid w:val="008F23AC"/>
    <w:rsid w:val="008F4B6B"/>
    <w:rsid w:val="008F6A1C"/>
    <w:rsid w:val="0090034F"/>
    <w:rsid w:val="0090124C"/>
    <w:rsid w:val="00905771"/>
    <w:rsid w:val="00916CE7"/>
    <w:rsid w:val="00923859"/>
    <w:rsid w:val="00927234"/>
    <w:rsid w:val="00931741"/>
    <w:rsid w:val="009336F6"/>
    <w:rsid w:val="009370D6"/>
    <w:rsid w:val="009453D3"/>
    <w:rsid w:val="009466DA"/>
    <w:rsid w:val="00952EF8"/>
    <w:rsid w:val="00953C9A"/>
    <w:rsid w:val="00954E35"/>
    <w:rsid w:val="009619BF"/>
    <w:rsid w:val="00961BB4"/>
    <w:rsid w:val="00965795"/>
    <w:rsid w:val="00970648"/>
    <w:rsid w:val="009778A2"/>
    <w:rsid w:val="00986471"/>
    <w:rsid w:val="0098763F"/>
    <w:rsid w:val="0099049D"/>
    <w:rsid w:val="0099094C"/>
    <w:rsid w:val="00992664"/>
    <w:rsid w:val="009956FD"/>
    <w:rsid w:val="00997F92"/>
    <w:rsid w:val="009A6CE4"/>
    <w:rsid w:val="009A7AA8"/>
    <w:rsid w:val="009B2F59"/>
    <w:rsid w:val="009B35B6"/>
    <w:rsid w:val="009C0101"/>
    <w:rsid w:val="009C1691"/>
    <w:rsid w:val="009C3FE3"/>
    <w:rsid w:val="009E066A"/>
    <w:rsid w:val="009F32F2"/>
    <w:rsid w:val="00A03572"/>
    <w:rsid w:val="00A036FD"/>
    <w:rsid w:val="00A04BA1"/>
    <w:rsid w:val="00A07CB7"/>
    <w:rsid w:val="00A14F62"/>
    <w:rsid w:val="00A20634"/>
    <w:rsid w:val="00A23A11"/>
    <w:rsid w:val="00A23B08"/>
    <w:rsid w:val="00A30613"/>
    <w:rsid w:val="00A330B0"/>
    <w:rsid w:val="00A33671"/>
    <w:rsid w:val="00A346AB"/>
    <w:rsid w:val="00A35CDD"/>
    <w:rsid w:val="00A43B12"/>
    <w:rsid w:val="00A44B0B"/>
    <w:rsid w:val="00A52364"/>
    <w:rsid w:val="00A56FC2"/>
    <w:rsid w:val="00A57599"/>
    <w:rsid w:val="00A57C60"/>
    <w:rsid w:val="00A64D24"/>
    <w:rsid w:val="00A65D66"/>
    <w:rsid w:val="00A72FA0"/>
    <w:rsid w:val="00A735C4"/>
    <w:rsid w:val="00A74007"/>
    <w:rsid w:val="00A77D52"/>
    <w:rsid w:val="00A811B1"/>
    <w:rsid w:val="00A8728D"/>
    <w:rsid w:val="00A91B2D"/>
    <w:rsid w:val="00AA064E"/>
    <w:rsid w:val="00AA4A61"/>
    <w:rsid w:val="00AB3B1B"/>
    <w:rsid w:val="00AB4B72"/>
    <w:rsid w:val="00AB783F"/>
    <w:rsid w:val="00AD2613"/>
    <w:rsid w:val="00AD4BC9"/>
    <w:rsid w:val="00AE3280"/>
    <w:rsid w:val="00AE4A9C"/>
    <w:rsid w:val="00AF135F"/>
    <w:rsid w:val="00AF26E3"/>
    <w:rsid w:val="00AF6BD5"/>
    <w:rsid w:val="00B024B5"/>
    <w:rsid w:val="00B0399E"/>
    <w:rsid w:val="00B046BC"/>
    <w:rsid w:val="00B04941"/>
    <w:rsid w:val="00B052BC"/>
    <w:rsid w:val="00B05691"/>
    <w:rsid w:val="00B10DED"/>
    <w:rsid w:val="00B13932"/>
    <w:rsid w:val="00B1697B"/>
    <w:rsid w:val="00B23DD6"/>
    <w:rsid w:val="00B407CC"/>
    <w:rsid w:val="00B41286"/>
    <w:rsid w:val="00B44B6E"/>
    <w:rsid w:val="00B45759"/>
    <w:rsid w:val="00B4628F"/>
    <w:rsid w:val="00B53285"/>
    <w:rsid w:val="00B628D9"/>
    <w:rsid w:val="00B64101"/>
    <w:rsid w:val="00B64D9D"/>
    <w:rsid w:val="00B66799"/>
    <w:rsid w:val="00B76E42"/>
    <w:rsid w:val="00B829EE"/>
    <w:rsid w:val="00B84803"/>
    <w:rsid w:val="00B868CD"/>
    <w:rsid w:val="00B9272C"/>
    <w:rsid w:val="00B97134"/>
    <w:rsid w:val="00BA07C6"/>
    <w:rsid w:val="00BA24A3"/>
    <w:rsid w:val="00BA3CF1"/>
    <w:rsid w:val="00BA4490"/>
    <w:rsid w:val="00BA5213"/>
    <w:rsid w:val="00BA559B"/>
    <w:rsid w:val="00BB05F8"/>
    <w:rsid w:val="00BB4F2D"/>
    <w:rsid w:val="00BB5DA7"/>
    <w:rsid w:val="00BB6B15"/>
    <w:rsid w:val="00BB7FDB"/>
    <w:rsid w:val="00BC0343"/>
    <w:rsid w:val="00BC1DE3"/>
    <w:rsid w:val="00BC4C2E"/>
    <w:rsid w:val="00BC521C"/>
    <w:rsid w:val="00BE08A0"/>
    <w:rsid w:val="00BE1656"/>
    <w:rsid w:val="00BE75D7"/>
    <w:rsid w:val="00BF5D37"/>
    <w:rsid w:val="00C02029"/>
    <w:rsid w:val="00C079A4"/>
    <w:rsid w:val="00C12193"/>
    <w:rsid w:val="00C2022A"/>
    <w:rsid w:val="00C24308"/>
    <w:rsid w:val="00C26417"/>
    <w:rsid w:val="00C26492"/>
    <w:rsid w:val="00C300FE"/>
    <w:rsid w:val="00C31FAA"/>
    <w:rsid w:val="00C34388"/>
    <w:rsid w:val="00C36218"/>
    <w:rsid w:val="00C36EC2"/>
    <w:rsid w:val="00C456B0"/>
    <w:rsid w:val="00C46C64"/>
    <w:rsid w:val="00C47148"/>
    <w:rsid w:val="00C529DA"/>
    <w:rsid w:val="00C5705B"/>
    <w:rsid w:val="00C61F54"/>
    <w:rsid w:val="00C63D9B"/>
    <w:rsid w:val="00C6454A"/>
    <w:rsid w:val="00C6773D"/>
    <w:rsid w:val="00C71F60"/>
    <w:rsid w:val="00C82178"/>
    <w:rsid w:val="00C8518E"/>
    <w:rsid w:val="00C92C20"/>
    <w:rsid w:val="00C93FF0"/>
    <w:rsid w:val="00C97491"/>
    <w:rsid w:val="00C979B5"/>
    <w:rsid w:val="00CA2F26"/>
    <w:rsid w:val="00CA3AC9"/>
    <w:rsid w:val="00CA69C7"/>
    <w:rsid w:val="00CB16E5"/>
    <w:rsid w:val="00CB490E"/>
    <w:rsid w:val="00CC4F73"/>
    <w:rsid w:val="00CC53FE"/>
    <w:rsid w:val="00CC6E2E"/>
    <w:rsid w:val="00CC6F3D"/>
    <w:rsid w:val="00CD2537"/>
    <w:rsid w:val="00CD7524"/>
    <w:rsid w:val="00CE34D8"/>
    <w:rsid w:val="00CF02D8"/>
    <w:rsid w:val="00CF193A"/>
    <w:rsid w:val="00CF310C"/>
    <w:rsid w:val="00CF52E5"/>
    <w:rsid w:val="00D0029D"/>
    <w:rsid w:val="00D00A2A"/>
    <w:rsid w:val="00D03694"/>
    <w:rsid w:val="00D05C70"/>
    <w:rsid w:val="00D05DC3"/>
    <w:rsid w:val="00D11889"/>
    <w:rsid w:val="00D15DA9"/>
    <w:rsid w:val="00D1754F"/>
    <w:rsid w:val="00D22882"/>
    <w:rsid w:val="00D22B13"/>
    <w:rsid w:val="00D24837"/>
    <w:rsid w:val="00D25503"/>
    <w:rsid w:val="00D33B80"/>
    <w:rsid w:val="00D34294"/>
    <w:rsid w:val="00D4584C"/>
    <w:rsid w:val="00D464C3"/>
    <w:rsid w:val="00D509E2"/>
    <w:rsid w:val="00D50D03"/>
    <w:rsid w:val="00D51D79"/>
    <w:rsid w:val="00D67864"/>
    <w:rsid w:val="00D73C91"/>
    <w:rsid w:val="00D85AE6"/>
    <w:rsid w:val="00D86B92"/>
    <w:rsid w:val="00D915F7"/>
    <w:rsid w:val="00D92535"/>
    <w:rsid w:val="00DA003E"/>
    <w:rsid w:val="00DA18D0"/>
    <w:rsid w:val="00DA29F1"/>
    <w:rsid w:val="00DB5286"/>
    <w:rsid w:val="00DB65F2"/>
    <w:rsid w:val="00DC3045"/>
    <w:rsid w:val="00DC698F"/>
    <w:rsid w:val="00DD05BD"/>
    <w:rsid w:val="00DD1166"/>
    <w:rsid w:val="00DE007F"/>
    <w:rsid w:val="00DE2711"/>
    <w:rsid w:val="00DE2828"/>
    <w:rsid w:val="00DE702D"/>
    <w:rsid w:val="00E04956"/>
    <w:rsid w:val="00E0793F"/>
    <w:rsid w:val="00E21549"/>
    <w:rsid w:val="00E24DA6"/>
    <w:rsid w:val="00E2766F"/>
    <w:rsid w:val="00E35CC4"/>
    <w:rsid w:val="00E36A00"/>
    <w:rsid w:val="00E42E68"/>
    <w:rsid w:val="00E44DD4"/>
    <w:rsid w:val="00E479EF"/>
    <w:rsid w:val="00E47B85"/>
    <w:rsid w:val="00E53097"/>
    <w:rsid w:val="00E536E7"/>
    <w:rsid w:val="00E54142"/>
    <w:rsid w:val="00E5494E"/>
    <w:rsid w:val="00E5716E"/>
    <w:rsid w:val="00E61B7F"/>
    <w:rsid w:val="00E66243"/>
    <w:rsid w:val="00E67744"/>
    <w:rsid w:val="00E71360"/>
    <w:rsid w:val="00E72039"/>
    <w:rsid w:val="00E7468E"/>
    <w:rsid w:val="00E76CE0"/>
    <w:rsid w:val="00E77E0B"/>
    <w:rsid w:val="00E81D17"/>
    <w:rsid w:val="00E90303"/>
    <w:rsid w:val="00E93A3C"/>
    <w:rsid w:val="00E94534"/>
    <w:rsid w:val="00E97F39"/>
    <w:rsid w:val="00EB2D31"/>
    <w:rsid w:val="00EB4A15"/>
    <w:rsid w:val="00EB5653"/>
    <w:rsid w:val="00EC1A0C"/>
    <w:rsid w:val="00EC26A5"/>
    <w:rsid w:val="00EC4251"/>
    <w:rsid w:val="00ED2B62"/>
    <w:rsid w:val="00ED3574"/>
    <w:rsid w:val="00EE04E9"/>
    <w:rsid w:val="00EE0A0D"/>
    <w:rsid w:val="00EE14C2"/>
    <w:rsid w:val="00EE56AD"/>
    <w:rsid w:val="00EE5E00"/>
    <w:rsid w:val="00EE7869"/>
    <w:rsid w:val="00F01973"/>
    <w:rsid w:val="00F056E2"/>
    <w:rsid w:val="00F07A35"/>
    <w:rsid w:val="00F10F18"/>
    <w:rsid w:val="00F14540"/>
    <w:rsid w:val="00F2165E"/>
    <w:rsid w:val="00F23C39"/>
    <w:rsid w:val="00F257A2"/>
    <w:rsid w:val="00F27018"/>
    <w:rsid w:val="00F3113D"/>
    <w:rsid w:val="00F44110"/>
    <w:rsid w:val="00F53808"/>
    <w:rsid w:val="00F546F3"/>
    <w:rsid w:val="00F642F2"/>
    <w:rsid w:val="00F67357"/>
    <w:rsid w:val="00F7359B"/>
    <w:rsid w:val="00F74582"/>
    <w:rsid w:val="00F768C4"/>
    <w:rsid w:val="00F82CFA"/>
    <w:rsid w:val="00F83425"/>
    <w:rsid w:val="00F8732A"/>
    <w:rsid w:val="00F95483"/>
    <w:rsid w:val="00F9560A"/>
    <w:rsid w:val="00F9742A"/>
    <w:rsid w:val="00FA3046"/>
    <w:rsid w:val="00FA726B"/>
    <w:rsid w:val="00FB0344"/>
    <w:rsid w:val="00FB1E9F"/>
    <w:rsid w:val="00FB2E18"/>
    <w:rsid w:val="00FB4CEB"/>
    <w:rsid w:val="00FB70B8"/>
    <w:rsid w:val="00FC05CC"/>
    <w:rsid w:val="00FC30C7"/>
    <w:rsid w:val="00FC3A58"/>
    <w:rsid w:val="00FD2A06"/>
    <w:rsid w:val="00FD2A33"/>
    <w:rsid w:val="00FD5384"/>
    <w:rsid w:val="00FE090F"/>
    <w:rsid w:val="00FF4CEE"/>
    <w:rsid w:val="00FF524E"/>
    <w:rsid w:val="00FF668C"/>
    <w:rsid w:val="00FF67CE"/>
    <w:rsid w:val="0585704C"/>
    <w:rsid w:val="07A364B7"/>
    <w:rsid w:val="08311E60"/>
    <w:rsid w:val="0F0F7457"/>
    <w:rsid w:val="143040B0"/>
    <w:rsid w:val="14CD60FE"/>
    <w:rsid w:val="156C55BC"/>
    <w:rsid w:val="167D1103"/>
    <w:rsid w:val="1B770817"/>
    <w:rsid w:val="1CBA04A5"/>
    <w:rsid w:val="1D133C2A"/>
    <w:rsid w:val="23F0603B"/>
    <w:rsid w:val="284D6B87"/>
    <w:rsid w:val="2ADB5D2C"/>
    <w:rsid w:val="33EC2E63"/>
    <w:rsid w:val="384635F3"/>
    <w:rsid w:val="3885411B"/>
    <w:rsid w:val="394159CA"/>
    <w:rsid w:val="3BE818D6"/>
    <w:rsid w:val="3DDB658B"/>
    <w:rsid w:val="44755918"/>
    <w:rsid w:val="4734568A"/>
    <w:rsid w:val="4AA921AA"/>
    <w:rsid w:val="4CEC10F7"/>
    <w:rsid w:val="556A2277"/>
    <w:rsid w:val="56B7290D"/>
    <w:rsid w:val="5AFF37D6"/>
    <w:rsid w:val="5BCF1086"/>
    <w:rsid w:val="5EF552A7"/>
    <w:rsid w:val="603E67DA"/>
    <w:rsid w:val="68865E47"/>
    <w:rsid w:val="6AB0719E"/>
    <w:rsid w:val="6ABA1153"/>
    <w:rsid w:val="6B6FFB50"/>
    <w:rsid w:val="6EAC6718"/>
    <w:rsid w:val="73010267"/>
    <w:rsid w:val="767C19B2"/>
    <w:rsid w:val="775A5700"/>
    <w:rsid w:val="77B1D7F5"/>
    <w:rsid w:val="78E2258B"/>
    <w:rsid w:val="792A1B99"/>
    <w:rsid w:val="79AE4579"/>
    <w:rsid w:val="7A8737C2"/>
    <w:rsid w:val="7E6F3626"/>
    <w:rsid w:val="7FF99102"/>
    <w:rsid w:val="FD9B0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7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8"/>
    <w:semiHidden/>
    <w:unhideWhenUsed/>
    <w:qFormat/>
    <w:uiPriority w:val="99"/>
    <w:rPr>
      <w:b/>
      <w:bCs/>
    </w:rPr>
  </w:style>
  <w:style w:type="table" w:styleId="8">
    <w:name w:val="Table Grid"/>
    <w:basedOn w:val="7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annotation reference"/>
    <w:basedOn w:val="9"/>
    <w:semiHidden/>
    <w:unhideWhenUsed/>
    <w:qFormat/>
    <w:uiPriority w:val="99"/>
    <w:rPr>
      <w:sz w:val="21"/>
      <w:szCs w:val="21"/>
    </w:rPr>
  </w:style>
  <w:style w:type="character" w:customStyle="1" w:styleId="11">
    <w:name w:val="页眉 字符"/>
    <w:basedOn w:val="9"/>
    <w:link w:val="5"/>
    <w:qFormat/>
    <w:uiPriority w:val="99"/>
    <w:rPr>
      <w:kern w:val="2"/>
      <w:sz w:val="18"/>
      <w:szCs w:val="18"/>
    </w:rPr>
  </w:style>
  <w:style w:type="character" w:customStyle="1" w:styleId="12">
    <w:name w:val="页脚 字符"/>
    <w:basedOn w:val="9"/>
    <w:link w:val="4"/>
    <w:qFormat/>
    <w:uiPriority w:val="99"/>
    <w:rPr>
      <w:kern w:val="2"/>
      <w:sz w:val="18"/>
      <w:szCs w:val="18"/>
    </w:rPr>
  </w:style>
  <w:style w:type="paragraph" w:styleId="13">
    <w:name w:val="List Paragraph"/>
    <w:basedOn w:val="1"/>
    <w:qFormat/>
    <w:uiPriority w:val="99"/>
    <w:pPr>
      <w:ind w:firstLine="420" w:firstLineChars="200"/>
    </w:pPr>
  </w:style>
  <w:style w:type="paragraph" w:customStyle="1" w:styleId="14">
    <w:name w:val="修订1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15">
    <w:name w:val="fontstyle01"/>
    <w:basedOn w:val="9"/>
    <w:qFormat/>
    <w:uiPriority w:val="0"/>
    <w:rPr>
      <w:rFonts w:hint="eastAsia" w:ascii="宋体" w:hAnsi="宋体" w:eastAsia="宋体"/>
      <w:color w:val="000000"/>
      <w:sz w:val="20"/>
      <w:szCs w:val="20"/>
    </w:rPr>
  </w:style>
  <w:style w:type="character" w:customStyle="1" w:styleId="16">
    <w:name w:val="批注框文本 字符"/>
    <w:basedOn w:val="9"/>
    <w:link w:val="3"/>
    <w:semiHidden/>
    <w:qFormat/>
    <w:uiPriority w:val="99"/>
    <w:rPr>
      <w:kern w:val="2"/>
      <w:sz w:val="18"/>
      <w:szCs w:val="18"/>
    </w:rPr>
  </w:style>
  <w:style w:type="character" w:customStyle="1" w:styleId="17">
    <w:name w:val="批注文字 字符"/>
    <w:basedOn w:val="9"/>
    <w:link w:val="2"/>
    <w:semiHidden/>
    <w:qFormat/>
    <w:uiPriority w:val="99"/>
    <w:rPr>
      <w:kern w:val="2"/>
      <w:sz w:val="21"/>
      <w:szCs w:val="22"/>
    </w:rPr>
  </w:style>
  <w:style w:type="character" w:customStyle="1" w:styleId="18">
    <w:name w:val="批注主题 字符"/>
    <w:basedOn w:val="17"/>
    <w:link w:val="6"/>
    <w:semiHidden/>
    <w:qFormat/>
    <w:uiPriority w:val="99"/>
    <w:rPr>
      <w:b/>
      <w:bCs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2556</Words>
  <Characters>2631</Characters>
  <Lines>15</Lines>
  <Paragraphs>4</Paragraphs>
  <TotalTime>35</TotalTime>
  <ScaleCrop>false</ScaleCrop>
  <LinksUpToDate>false</LinksUpToDate>
  <CharactersWithSpaces>2679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2023-06-09T11:16:00Z</dcterms:created>
  <dc:creator>郭枫</dc:creator>
  <cp:lastModifiedBy>Maggie</cp:lastModifiedBy>
  <dcterms:modified xsi:type="dcterms:W3CDTF">2026-09-21T08:36:02Z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975A94C22E294F15B5CCCE8A83348608_13</vt:lpwstr>
  </property>
  <property fmtid="{D5CDD505-2E9C-101B-9397-08002B2CF9AE}" pid="4" name="KSOTemplateDocerSaveRecord">
    <vt:lpwstr>eyJoZGlkIjoiYzE2ZGVmZjA3MGU2OGRjNjY3NWM0ZmY4MzhmY2I4N2YiLCJ1c2VySWQiOiI0NjQ1MzI5MTUifQ==</vt:lpwstr>
  </property>
</Properties>
</file>