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A07C1">
      <w:pPr>
        <w:keepNext w:val="0"/>
        <w:keepLines w:val="0"/>
        <w:pageBreakBefore w:val="0"/>
        <w:widowControl w:val="0"/>
        <w:kinsoku/>
        <w:wordWrap/>
        <w:overflowPunct/>
        <w:topLinePunct w:val="0"/>
        <w:autoSpaceDE/>
        <w:autoSpaceDN/>
        <w:bidi w:val="0"/>
        <w:adjustRightInd/>
        <w:snapToGrid/>
        <w:spacing w:line="400" w:lineRule="exact"/>
        <w:textAlignment w:val="auto"/>
        <w:rPr>
          <w:bCs/>
          <w:iCs/>
          <w:color w:val="000000"/>
          <w:sz w:val="24"/>
        </w:rPr>
      </w:pPr>
      <w:r>
        <w:rPr>
          <w:rFonts w:hAnsi="宋体"/>
          <w:bCs/>
          <w:iCs/>
          <w:color w:val="000000"/>
          <w:sz w:val="24"/>
        </w:rPr>
        <w:t>证券代码：</w:t>
      </w:r>
      <w:r>
        <w:rPr>
          <w:color w:val="000000"/>
          <w:sz w:val="24"/>
        </w:rPr>
        <w:t xml:space="preserve">603920                          </w:t>
      </w:r>
      <w:r>
        <w:rPr>
          <w:rFonts w:hint="eastAsia"/>
          <w:color w:val="000000"/>
          <w:sz w:val="24"/>
          <w:lang w:val="en-US" w:eastAsia="zh-CN"/>
        </w:rPr>
        <w:t xml:space="preserve">      </w:t>
      </w:r>
      <w:r>
        <w:rPr>
          <w:color w:val="000000"/>
          <w:sz w:val="24"/>
        </w:rPr>
        <w:t xml:space="preserve">   </w:t>
      </w:r>
      <w:r>
        <w:rPr>
          <w:rFonts w:hAnsi="宋体"/>
          <w:bCs/>
          <w:iCs/>
          <w:color w:val="000000"/>
          <w:sz w:val="24"/>
        </w:rPr>
        <w:t>证券简称：</w:t>
      </w:r>
      <w:r>
        <w:rPr>
          <w:color w:val="000000"/>
          <w:sz w:val="24"/>
        </w:rPr>
        <w:t>世运电路</w:t>
      </w:r>
    </w:p>
    <w:p w14:paraId="7547961C">
      <w:pPr>
        <w:spacing w:before="156" w:beforeLines="50" w:after="156" w:afterLines="50" w:line="400" w:lineRule="exact"/>
        <w:jc w:val="center"/>
        <w:rPr>
          <w:rFonts w:ascii="宋体" w:hAnsi="宋体"/>
          <w:b/>
          <w:bCs/>
          <w:iCs/>
          <w:color w:val="000000"/>
          <w:sz w:val="32"/>
          <w:szCs w:val="32"/>
        </w:rPr>
      </w:pPr>
      <w:r>
        <w:rPr>
          <w:rFonts w:ascii="宋体" w:hAnsi="宋体"/>
          <w:b/>
          <w:bCs/>
          <w:iCs/>
          <w:color w:val="000000"/>
          <w:sz w:val="32"/>
          <w:szCs w:val="32"/>
        </w:rPr>
        <w:t>广东世运电路科技股份有限公司</w:t>
      </w:r>
    </w:p>
    <w:p w14:paraId="0F484B09">
      <w:pPr>
        <w:spacing w:before="156" w:beforeLines="50" w:after="156" w:afterLines="50" w:line="400" w:lineRule="exact"/>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7"/>
        <w:gridCol w:w="6487"/>
      </w:tblGrid>
      <w:tr w14:paraId="0929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tcPr>
          <w:p w14:paraId="5BB19317">
            <w:pPr>
              <w:spacing w:line="420" w:lineRule="exact"/>
              <w:rPr>
                <w:bCs/>
                <w:iCs/>
                <w:color w:val="000000"/>
                <w:kern w:val="0"/>
                <w:sz w:val="24"/>
              </w:rPr>
            </w:pPr>
            <w:r>
              <w:rPr>
                <w:rFonts w:hAnsi="宋体"/>
                <w:bCs/>
                <w:iCs/>
                <w:color w:val="000000"/>
                <w:kern w:val="0"/>
                <w:sz w:val="24"/>
              </w:rPr>
              <w:t>投资者关系活动类别</w:t>
            </w:r>
          </w:p>
          <w:p w14:paraId="4664B059">
            <w:pPr>
              <w:spacing w:line="420" w:lineRule="exact"/>
              <w:rPr>
                <w:bCs/>
                <w:iCs/>
                <w:color w:val="000000"/>
                <w:sz w:val="24"/>
              </w:rPr>
            </w:pPr>
          </w:p>
        </w:tc>
        <w:tc>
          <w:tcPr>
            <w:tcW w:w="3910" w:type="pct"/>
            <w:tcBorders>
              <w:top w:val="single" w:color="auto" w:sz="4" w:space="0"/>
              <w:left w:val="single" w:color="auto" w:sz="4" w:space="0"/>
              <w:bottom w:val="single" w:color="auto" w:sz="4" w:space="0"/>
              <w:right w:val="single" w:color="auto" w:sz="4" w:space="0"/>
            </w:tcBorders>
          </w:tcPr>
          <w:p w14:paraId="1FCE1BC1">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410B7149">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6F05E3DE">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5003C07F">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3AFCA3ED">
            <w:pPr>
              <w:tabs>
                <w:tab w:val="center" w:pos="3199"/>
              </w:tabs>
              <w:spacing w:line="420" w:lineRule="exact"/>
              <w:rPr>
                <w:rFonts w:hAnsi="宋体"/>
                <w:bCs w:val="0"/>
                <w:iCs w:val="0"/>
                <w:color w:val="auto"/>
                <w:kern w:val="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rFonts w:hint="eastAsia" w:hAnsi="宋体"/>
                <w:kern w:val="0"/>
                <w:sz w:val="24"/>
              </w:rPr>
              <w:t>：</w:t>
            </w:r>
            <w:r>
              <w:rPr>
                <w:rFonts w:hint="eastAsia" w:hAnsi="宋体"/>
                <w:kern w:val="0"/>
                <w:sz w:val="24"/>
                <w:u w:val="single"/>
              </w:rPr>
              <w:t>2026年广东辖区投资者集体接待日暨辖区上市公司中报业绩说明会</w:t>
            </w:r>
          </w:p>
        </w:tc>
      </w:tr>
      <w:tr w14:paraId="4656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tcPr>
          <w:p w14:paraId="18720D53">
            <w:pPr>
              <w:spacing w:line="420" w:lineRule="exact"/>
              <w:rPr>
                <w:bCs/>
                <w:iCs/>
                <w:color w:val="000000"/>
                <w:kern w:val="0"/>
                <w:sz w:val="24"/>
              </w:rPr>
            </w:pPr>
            <w:r>
              <w:rPr>
                <w:rFonts w:hAnsi="宋体"/>
                <w:bCs/>
                <w:iCs/>
                <w:color w:val="000000"/>
                <w:kern w:val="0"/>
                <w:sz w:val="24"/>
              </w:rPr>
              <w:t>参与单位名称及人员姓名</w:t>
            </w:r>
          </w:p>
        </w:tc>
        <w:tc>
          <w:tcPr>
            <w:tcW w:w="3910" w:type="pct"/>
            <w:tcBorders>
              <w:top w:val="single" w:color="auto" w:sz="4" w:space="0"/>
              <w:left w:val="single" w:color="auto" w:sz="4" w:space="0"/>
              <w:bottom w:val="single" w:color="auto" w:sz="4" w:space="0"/>
              <w:right w:val="single" w:color="auto" w:sz="4" w:space="0"/>
            </w:tcBorders>
          </w:tcPr>
          <w:p w14:paraId="6A75DAC1">
            <w:pPr>
              <w:spacing w:line="420" w:lineRule="exact"/>
              <w:rPr>
                <w:bCs/>
                <w:iCs/>
                <w:color w:val="000000"/>
                <w:sz w:val="24"/>
                <w:lang w:val="en-GB"/>
              </w:rPr>
            </w:pPr>
            <w:r>
              <w:rPr>
                <w:rFonts w:hint="eastAsia"/>
                <w:bCs/>
                <w:iCs/>
                <w:color w:val="000000"/>
                <w:sz w:val="24"/>
                <w:lang w:val="en-GB"/>
              </w:rPr>
              <w:t>参加2026年广东辖区投资者集体接待日暨辖区上市公司中报业绩说明会活动的投资者</w:t>
            </w:r>
          </w:p>
        </w:tc>
      </w:tr>
      <w:tr w14:paraId="4D3D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tcPr>
          <w:p w14:paraId="6C804D04">
            <w:pPr>
              <w:spacing w:line="420" w:lineRule="exact"/>
              <w:rPr>
                <w:bCs/>
                <w:iCs/>
                <w:color w:val="000000"/>
                <w:kern w:val="0"/>
                <w:sz w:val="24"/>
              </w:rPr>
            </w:pPr>
            <w:r>
              <w:rPr>
                <w:rFonts w:hAnsi="宋体"/>
                <w:bCs/>
                <w:iCs/>
                <w:color w:val="000000"/>
                <w:kern w:val="0"/>
                <w:sz w:val="24"/>
              </w:rPr>
              <w:t>时间</w:t>
            </w:r>
          </w:p>
        </w:tc>
        <w:tc>
          <w:tcPr>
            <w:tcW w:w="3910" w:type="pct"/>
            <w:tcBorders>
              <w:top w:val="single" w:color="auto" w:sz="4" w:space="0"/>
              <w:left w:val="single" w:color="auto" w:sz="4" w:space="0"/>
              <w:bottom w:val="single" w:color="auto" w:sz="4" w:space="0"/>
              <w:right w:val="single" w:color="auto" w:sz="4" w:space="0"/>
            </w:tcBorders>
          </w:tcPr>
          <w:p w14:paraId="11177DAE">
            <w:pPr>
              <w:spacing w:line="420" w:lineRule="exact"/>
              <w:rPr>
                <w:bCs/>
                <w:iCs/>
                <w:color w:val="000000"/>
                <w:sz w:val="24"/>
              </w:rPr>
            </w:pPr>
            <w:r>
              <w:rPr>
                <w:bCs/>
                <w:iCs/>
                <w:color w:val="000000"/>
                <w:sz w:val="24"/>
              </w:rPr>
              <w:t>2026年9月15日</w:t>
            </w:r>
            <w:r>
              <w:rPr>
                <w:rFonts w:hint="eastAsia"/>
                <w:bCs/>
                <w:iCs/>
                <w:color w:val="000000"/>
                <w:sz w:val="24"/>
              </w:rPr>
              <w:t>（周二）</w:t>
            </w:r>
            <w:r>
              <w:rPr>
                <w:rFonts w:hint="eastAsia"/>
                <w:bCs/>
                <w:iCs/>
                <w:color w:val="000000"/>
                <w:sz w:val="24"/>
                <w:lang w:eastAsia="zh-CN"/>
              </w:rPr>
              <w:t>15:30</w:t>
            </w:r>
            <w:r>
              <w:rPr>
                <w:bCs/>
                <w:iCs/>
                <w:color w:val="000000"/>
                <w:sz w:val="24"/>
              </w:rPr>
              <w:t>~17:00</w:t>
            </w:r>
          </w:p>
        </w:tc>
      </w:tr>
      <w:tr w14:paraId="3CF5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tcPr>
          <w:p w14:paraId="3EF3C944">
            <w:pPr>
              <w:spacing w:line="420" w:lineRule="exact"/>
              <w:rPr>
                <w:bCs/>
                <w:iCs/>
                <w:color w:val="000000"/>
                <w:kern w:val="0"/>
                <w:sz w:val="24"/>
              </w:rPr>
            </w:pPr>
            <w:r>
              <w:rPr>
                <w:rFonts w:hAnsi="宋体"/>
                <w:bCs/>
                <w:iCs/>
                <w:color w:val="000000"/>
                <w:kern w:val="0"/>
                <w:sz w:val="24"/>
              </w:rPr>
              <w:t>地点</w:t>
            </w:r>
          </w:p>
        </w:tc>
        <w:tc>
          <w:tcPr>
            <w:tcW w:w="3910" w:type="pct"/>
            <w:tcBorders>
              <w:top w:val="single" w:color="auto" w:sz="4" w:space="0"/>
              <w:left w:val="single" w:color="auto" w:sz="4" w:space="0"/>
              <w:bottom w:val="single" w:color="auto" w:sz="4" w:space="0"/>
              <w:right w:val="single" w:color="auto" w:sz="4" w:space="0"/>
            </w:tcBorders>
          </w:tcPr>
          <w:p w14:paraId="297D0A00">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cs="宋体"/>
                <w:sz w:val="24"/>
              </w:rPr>
              <w:t>投资者关系互动平台</w:t>
            </w:r>
            <w:r>
              <w:rPr>
                <w:rFonts w:hint="eastAsia" w:ascii="宋体" w:hAnsi="宋体"/>
                <w:bCs/>
                <w:sz w:val="24"/>
              </w:rPr>
              <w:t>”（http</w:t>
            </w:r>
            <w:r>
              <w:rPr>
                <w:rFonts w:ascii="宋体" w:hAnsi="宋体"/>
                <w:bCs/>
                <w:sz w:val="24"/>
              </w:rPr>
              <w:t>s</w:t>
            </w:r>
            <w:r>
              <w:rPr>
                <w:rFonts w:hint="eastAsia" w:ascii="宋体" w:hAnsi="宋体"/>
                <w:bCs/>
                <w:sz w:val="24"/>
              </w:rPr>
              <w:t>://ir.p5w.net）采用网络远程的方式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14:paraId="0289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tcPr>
          <w:p w14:paraId="75D3314A">
            <w:pPr>
              <w:spacing w:line="420" w:lineRule="exact"/>
              <w:rPr>
                <w:rFonts w:hint="eastAsia" w:hAnsi="宋体"/>
                <w:bCs/>
                <w:iCs/>
                <w:color w:val="000000"/>
                <w:kern w:val="0"/>
                <w:sz w:val="24"/>
              </w:rPr>
            </w:pPr>
            <w:r>
              <w:rPr>
                <w:rFonts w:hint="eastAsia" w:hAnsi="宋体"/>
                <w:bCs/>
                <w:iCs/>
                <w:color w:val="000000"/>
                <w:kern w:val="0"/>
                <w:sz w:val="24"/>
              </w:rPr>
              <w:t>形式</w:t>
            </w:r>
          </w:p>
        </w:tc>
        <w:tc>
          <w:tcPr>
            <w:tcW w:w="3910" w:type="pct"/>
            <w:tcBorders>
              <w:top w:val="single" w:color="auto" w:sz="4" w:space="0"/>
              <w:left w:val="single" w:color="auto" w:sz="4" w:space="0"/>
              <w:bottom w:val="single" w:color="auto" w:sz="4" w:space="0"/>
              <w:right w:val="single" w:color="auto" w:sz="4" w:space="0"/>
            </w:tcBorders>
          </w:tcPr>
          <w:p w14:paraId="4216DF84">
            <w:pPr>
              <w:spacing w:line="420" w:lineRule="exact"/>
              <w:rPr>
                <w:rFonts w:hint="eastAsia" w:ascii="宋体" w:hAnsi="宋体"/>
                <w:sz w:val="24"/>
              </w:rPr>
            </w:pPr>
            <w:r>
              <w:rPr>
                <w:rFonts w:hint="eastAsia" w:ascii="宋体" w:hAnsi="宋体"/>
                <w:bCs/>
                <w:sz w:val="24"/>
              </w:rPr>
              <w:t>网络远程</w:t>
            </w:r>
          </w:p>
        </w:tc>
      </w:tr>
      <w:tr w14:paraId="2EF6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tcPr>
          <w:p w14:paraId="2CD9C41A">
            <w:pPr>
              <w:spacing w:line="420" w:lineRule="exact"/>
              <w:rPr>
                <w:bCs/>
                <w:iCs/>
                <w:color w:val="000000"/>
                <w:kern w:val="0"/>
                <w:sz w:val="24"/>
              </w:rPr>
            </w:pPr>
            <w:r>
              <w:rPr>
                <w:rFonts w:hAnsi="宋体"/>
                <w:bCs/>
                <w:iCs/>
                <w:color w:val="000000"/>
                <w:kern w:val="0"/>
                <w:sz w:val="24"/>
              </w:rPr>
              <w:t>上市公司接待人员姓名</w:t>
            </w:r>
          </w:p>
        </w:tc>
        <w:tc>
          <w:tcPr>
            <w:tcW w:w="3910" w:type="pct"/>
            <w:tcBorders>
              <w:top w:val="single" w:color="auto" w:sz="4" w:space="0"/>
              <w:left w:val="single" w:color="auto" w:sz="4" w:space="0"/>
              <w:bottom w:val="single" w:color="auto" w:sz="4" w:space="0"/>
              <w:right w:val="single" w:color="auto" w:sz="4" w:space="0"/>
            </w:tcBorders>
            <w:vAlign w:val="center"/>
          </w:tcPr>
          <w:p w14:paraId="3944F250">
            <w:pPr>
              <w:spacing w:line="420" w:lineRule="exact"/>
              <w:rPr>
                <w:rFonts w:hint="eastAsia" w:ascii="宋体" w:hAnsi="宋体"/>
                <w:bCs/>
                <w:sz w:val="24"/>
              </w:rPr>
            </w:pPr>
            <w:r>
              <w:rPr>
                <w:rFonts w:ascii="宋体" w:hAnsi="宋体"/>
                <w:bCs/>
                <w:sz w:val="24"/>
              </w:rPr>
              <w:t>1、董事长林育成</w:t>
            </w:r>
          </w:p>
          <w:p w14:paraId="2510AAE0">
            <w:pPr>
              <w:spacing w:line="420" w:lineRule="exact"/>
              <w:rPr>
                <w:rFonts w:hint="eastAsia" w:ascii="宋体" w:hAnsi="宋体"/>
                <w:bCs/>
                <w:sz w:val="24"/>
              </w:rPr>
            </w:pPr>
            <w:r>
              <w:rPr>
                <w:rFonts w:ascii="宋体" w:hAnsi="宋体"/>
                <w:bCs/>
                <w:sz w:val="24"/>
              </w:rPr>
              <w:t>2、</w:t>
            </w:r>
            <w:r>
              <w:rPr>
                <w:rFonts w:hint="eastAsia" w:ascii="宋体" w:hAnsi="宋体"/>
                <w:bCs/>
                <w:sz w:val="24"/>
              </w:rPr>
              <w:t>副董事长、</w:t>
            </w:r>
            <w:r>
              <w:rPr>
                <w:rFonts w:ascii="宋体" w:hAnsi="宋体"/>
                <w:bCs/>
                <w:sz w:val="24"/>
              </w:rPr>
              <w:t>总经理佘英杰</w:t>
            </w:r>
          </w:p>
          <w:p w14:paraId="0B78159D">
            <w:pPr>
              <w:spacing w:line="420" w:lineRule="exact"/>
              <w:rPr>
                <w:rFonts w:hint="eastAsia" w:ascii="宋体" w:hAnsi="宋体"/>
                <w:bCs/>
                <w:sz w:val="24"/>
              </w:rPr>
            </w:pPr>
            <w:r>
              <w:rPr>
                <w:rFonts w:ascii="宋体" w:hAnsi="宋体"/>
                <w:bCs/>
                <w:sz w:val="24"/>
              </w:rPr>
              <w:t>3、</w:t>
            </w:r>
            <w:r>
              <w:rPr>
                <w:rFonts w:hint="eastAsia" w:ascii="宋体" w:hAnsi="宋体"/>
                <w:bCs/>
                <w:sz w:val="24"/>
              </w:rPr>
              <w:t>董事、</w:t>
            </w:r>
            <w:r>
              <w:rPr>
                <w:rFonts w:ascii="宋体" w:hAnsi="宋体"/>
                <w:bCs/>
                <w:sz w:val="24"/>
              </w:rPr>
              <w:t>财务负责人蒋毅</w:t>
            </w:r>
          </w:p>
          <w:p w14:paraId="18E1F165">
            <w:pPr>
              <w:spacing w:line="420" w:lineRule="exact"/>
              <w:rPr>
                <w:rFonts w:hint="eastAsia" w:ascii="宋体" w:hAnsi="宋体"/>
                <w:bCs/>
                <w:sz w:val="24"/>
              </w:rPr>
            </w:pPr>
            <w:r>
              <w:rPr>
                <w:rFonts w:ascii="宋体" w:hAnsi="宋体"/>
                <w:bCs/>
                <w:sz w:val="24"/>
              </w:rPr>
              <w:t>4、董事会秘书尹嘉亮</w:t>
            </w:r>
          </w:p>
        </w:tc>
      </w:tr>
      <w:tr w14:paraId="1224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vAlign w:val="center"/>
          </w:tcPr>
          <w:p w14:paraId="3C4765CE">
            <w:pPr>
              <w:spacing w:line="420" w:lineRule="exact"/>
              <w:rPr>
                <w:bCs/>
                <w:iCs/>
                <w:color w:val="000000"/>
                <w:kern w:val="0"/>
                <w:sz w:val="24"/>
              </w:rPr>
            </w:pPr>
            <w:r>
              <w:rPr>
                <w:rFonts w:hAnsi="宋体"/>
                <w:bCs/>
                <w:iCs/>
                <w:color w:val="000000"/>
                <w:kern w:val="0"/>
                <w:sz w:val="24"/>
              </w:rPr>
              <w:t>投资者关系活动主要内容介绍</w:t>
            </w:r>
          </w:p>
          <w:p w14:paraId="1A19585F">
            <w:pPr>
              <w:spacing w:line="420" w:lineRule="exact"/>
              <w:rPr>
                <w:bCs/>
                <w:iCs/>
                <w:color w:val="000000"/>
                <w:sz w:val="24"/>
              </w:rPr>
            </w:pPr>
          </w:p>
        </w:tc>
        <w:tc>
          <w:tcPr>
            <w:tcW w:w="3910" w:type="pct"/>
            <w:tcBorders>
              <w:top w:val="single" w:color="auto" w:sz="4" w:space="0"/>
              <w:left w:val="single" w:color="auto" w:sz="4" w:space="0"/>
              <w:bottom w:val="single" w:color="auto" w:sz="4" w:space="0"/>
              <w:right w:val="single" w:color="auto" w:sz="4" w:space="0"/>
            </w:tcBorders>
          </w:tcPr>
          <w:p w14:paraId="595FE164">
            <w:pPr>
              <w:spacing w:before="156" w:beforeLines="50" w:line="360" w:lineRule="auto"/>
              <w:ind w:firstLine="482" w:firstLineChars="200"/>
              <w:rPr>
                <w:rFonts w:hint="eastAsia" w:ascii="宋体" w:hAnsi="宋体"/>
                <w:b/>
                <w:sz w:val="24"/>
              </w:rPr>
            </w:pPr>
            <w:r>
              <w:rPr>
                <w:rFonts w:ascii="宋体" w:hAnsi="宋体"/>
                <w:b/>
                <w:sz w:val="24"/>
              </w:rPr>
              <w:t>投资者提出的问题及公司回复情况</w:t>
            </w:r>
          </w:p>
          <w:p w14:paraId="4E56B1F6">
            <w:pPr>
              <w:spacing w:before="156" w:beforeLines="50" w:line="360" w:lineRule="auto"/>
              <w:ind w:firstLine="480" w:firstLineChars="200"/>
              <w:rPr>
                <w:rFonts w:hint="eastAsia" w:ascii="宋体" w:hAnsi="宋体"/>
                <w:sz w:val="24"/>
              </w:rPr>
            </w:pPr>
            <w:r>
              <w:rPr>
                <w:rFonts w:ascii="宋体" w:hAnsi="宋体" w:cs="宋体"/>
                <w:sz w:val="24"/>
              </w:rPr>
              <w:t>公司就投资者在本次说明会中提出的问题进行了回复：</w:t>
            </w:r>
          </w:p>
          <w:p w14:paraId="6EF61523">
            <w:pPr>
              <w:pStyle w:val="11"/>
              <w:spacing w:before="156" w:beforeLines="50" w:line="360" w:lineRule="auto"/>
              <w:ind w:firstLine="482"/>
              <w:rPr>
                <w:rFonts w:hint="eastAsia" w:ascii="宋体" w:hAnsi="宋体"/>
                <w:b/>
                <w:sz w:val="24"/>
                <w:szCs w:val="24"/>
              </w:rPr>
            </w:pPr>
            <w:r>
              <w:rPr>
                <w:rFonts w:ascii="宋体" w:hAnsi="宋体"/>
                <w:b/>
                <w:sz w:val="24"/>
                <w:szCs w:val="24"/>
              </w:rPr>
              <w:t>1、请问公司关于英伟达LPU和谷歌TPU的供货进展？随着FSD在中国国内的推进，TSL车端PCB的单车价值量是否会提升？</w:t>
            </w:r>
          </w:p>
          <w:p w14:paraId="7195D9B2">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尊敬的投资者，您好！针对上述客户的相关产品，公司相关PCB产品目前处于认证打样阶段，暂未进入批量供货。FSD落地理论上将带动汽车智能化PCB需求提升，公司长期配合T客户进行产品研发迭代。公司感谢您的</w:t>
            </w:r>
            <w:r>
              <w:rPr>
                <w:rFonts w:hint="eastAsia" w:ascii="宋体" w:hAnsi="宋体"/>
                <w:sz w:val="24"/>
                <w:szCs w:val="24"/>
              </w:rPr>
              <w:t>关注！</w:t>
            </w:r>
          </w:p>
          <w:p w14:paraId="1CCD76C8">
            <w:pPr>
              <w:pStyle w:val="11"/>
              <w:spacing w:before="156" w:beforeLines="50" w:line="360" w:lineRule="auto"/>
              <w:ind w:firstLine="482"/>
              <w:rPr>
                <w:rFonts w:hint="eastAsia" w:ascii="宋体" w:hAnsi="宋体"/>
                <w:b/>
                <w:sz w:val="24"/>
                <w:szCs w:val="24"/>
              </w:rPr>
            </w:pPr>
            <w:r>
              <w:rPr>
                <w:rFonts w:ascii="宋体" w:hAnsi="宋体"/>
                <w:b/>
                <w:sz w:val="24"/>
                <w:szCs w:val="24"/>
              </w:rPr>
              <w:t>2、尹总你好，请问公司英伟达LPU VPD 相关PCB是否已经进入量产准备吗？</w:t>
            </w:r>
          </w:p>
          <w:p w14:paraId="1152868A">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新一代LPU芯片采用垂直供电技术，对应的PCB工艺要求高多层、高阶高密度互连（HDI）和埋嵌方案以实现最短路径、最低阻抗、最快响应和最干净信号的应用需求。公司已公布的“芯创智载”项目即采用高层高阶HDI嵌埋工艺将芯片和相关器件直接嵌埋到PCB板内，通过此创新的制程工艺实现器件与PCB流程的封装一体化，优化信号传输路径与散热性能，提高系统功效和可靠性。相关产品处于认证打样阶段。感谢您的关注！</w:t>
            </w:r>
          </w:p>
          <w:p w14:paraId="2600123C">
            <w:pPr>
              <w:pStyle w:val="11"/>
              <w:spacing w:before="156" w:beforeLines="50" w:line="360" w:lineRule="auto"/>
              <w:ind w:firstLine="482"/>
              <w:rPr>
                <w:rFonts w:hint="eastAsia" w:ascii="宋体" w:hAnsi="宋体"/>
                <w:b/>
                <w:sz w:val="24"/>
                <w:szCs w:val="24"/>
              </w:rPr>
            </w:pPr>
            <w:r>
              <w:rPr>
                <w:rFonts w:ascii="宋体" w:hAnsi="宋体"/>
                <w:b/>
                <w:sz w:val="24"/>
                <w:szCs w:val="24"/>
              </w:rPr>
              <w:t>3、你好，泰国工厂9月份的产能稼动情况如何？今年第四季度是否能够完成爬坡，实现盈亏平衡？</w:t>
            </w:r>
          </w:p>
          <w:p w14:paraId="6BC840D1">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尊敬的投资者，您好！公司泰国工厂已经进入量产爬坡阶段，并通过部分核心客户的认证，同时持续推进新客户、新产品的认证，尽快成为公司的核心产能。感谢您的关注！</w:t>
            </w:r>
          </w:p>
          <w:p w14:paraId="7626430B">
            <w:pPr>
              <w:pStyle w:val="11"/>
              <w:spacing w:before="156" w:beforeLines="50" w:line="360" w:lineRule="auto"/>
              <w:ind w:firstLine="482"/>
              <w:rPr>
                <w:rFonts w:hint="eastAsia" w:ascii="宋体" w:hAnsi="宋体"/>
                <w:b/>
                <w:sz w:val="24"/>
                <w:szCs w:val="24"/>
              </w:rPr>
            </w:pPr>
            <w:r>
              <w:rPr>
                <w:rFonts w:hint="eastAsia" w:ascii="宋体" w:hAnsi="宋体"/>
                <w:b/>
                <w:sz w:val="24"/>
                <w:szCs w:val="24"/>
                <w:lang w:val="en-US" w:eastAsia="zh-CN"/>
              </w:rPr>
              <w:t>4</w:t>
            </w:r>
            <w:r>
              <w:rPr>
                <w:rFonts w:ascii="宋体" w:hAnsi="宋体"/>
                <w:b/>
                <w:sz w:val="24"/>
                <w:szCs w:val="24"/>
              </w:rPr>
              <w:t>、你好，泰国工厂9月份的产能稼动情况如何？初期主要承接</w:t>
            </w:r>
            <w:r>
              <w:rPr>
                <w:rFonts w:hint="eastAsia" w:ascii="宋体" w:hAnsi="宋体"/>
                <w:b/>
                <w:sz w:val="24"/>
                <w:szCs w:val="24"/>
                <w:lang w:val="en-US" w:eastAsia="zh-CN"/>
              </w:rPr>
              <w:t>哪</w:t>
            </w:r>
            <w:r>
              <w:rPr>
                <w:rFonts w:ascii="宋体" w:hAnsi="宋体"/>
                <w:b/>
                <w:sz w:val="24"/>
                <w:szCs w:val="24"/>
              </w:rPr>
              <w:t>一块业务的订单？</w:t>
            </w:r>
          </w:p>
          <w:p w14:paraId="34E6FE06">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尊敬的投资者，您好！公司泰国工厂已经进入量产爬坡阶段，并通过部分核心客户的认证，同时持续推进新客户、新产品的认证。工厂初期订单主要聚焦海外汽车电子相关 PCB 业务，同时推进储能、人工智能等领域客户认证与订单导入。感谢您的关注！</w:t>
            </w:r>
          </w:p>
          <w:p w14:paraId="1CABFDEE">
            <w:pPr>
              <w:pStyle w:val="11"/>
              <w:spacing w:before="156" w:beforeLines="50" w:line="360" w:lineRule="auto"/>
              <w:ind w:firstLine="482"/>
              <w:rPr>
                <w:rFonts w:hint="eastAsia" w:ascii="宋体" w:hAnsi="宋体"/>
                <w:b/>
                <w:sz w:val="24"/>
                <w:szCs w:val="24"/>
              </w:rPr>
            </w:pPr>
            <w:r>
              <w:rPr>
                <w:rFonts w:hint="eastAsia" w:ascii="宋体" w:hAnsi="宋体"/>
                <w:b/>
                <w:sz w:val="24"/>
                <w:szCs w:val="24"/>
                <w:lang w:val="en-US" w:eastAsia="zh-CN"/>
              </w:rPr>
              <w:t>5</w:t>
            </w:r>
            <w:r>
              <w:rPr>
                <w:rFonts w:ascii="宋体" w:hAnsi="宋体"/>
                <w:b/>
                <w:sz w:val="24"/>
                <w:szCs w:val="24"/>
              </w:rPr>
              <w:t>、尹总你好，上游CCL材料紧缺，公司是否能中长期锁定材料以保证出货，完成客户订单需求？</w:t>
            </w:r>
          </w:p>
          <w:p w14:paraId="0D394D75">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针对原材料价格波动与供应链安全保障，公司已第一时间启动全链条供应链保障体系，包括（1）深化与核心供应商的长期战略合作，通过长期协议锁定基础产能与供应优先级，结合客户订单预判提前锁量锁价，保障核心生产物料稳定供应；（2）加速推进供应链多元化与国产替代验证，在严格符合客户质量标准与产品认证要求的前提下，持续拓展合格供应商体系，分散供应风险、优化采购成本；（3）动态调整安全库存策略，针对高端基材、特种铜箔等紧缺关键物料提前完成战略备货与产能预留，充分保障高端产品研发与后续量产交付需求。感谢您的关注</w:t>
            </w:r>
          </w:p>
          <w:p w14:paraId="6A5D4B9B">
            <w:pPr>
              <w:pStyle w:val="11"/>
              <w:spacing w:before="156" w:beforeLines="50" w:line="360" w:lineRule="auto"/>
              <w:ind w:firstLine="482"/>
              <w:rPr>
                <w:rFonts w:hint="eastAsia" w:ascii="宋体" w:hAnsi="宋体"/>
                <w:b/>
                <w:sz w:val="24"/>
                <w:szCs w:val="24"/>
              </w:rPr>
            </w:pPr>
            <w:r>
              <w:rPr>
                <w:rFonts w:hint="eastAsia" w:ascii="宋体" w:hAnsi="宋体"/>
                <w:b/>
                <w:sz w:val="24"/>
                <w:szCs w:val="24"/>
                <w:lang w:val="en-US" w:eastAsia="zh-CN"/>
              </w:rPr>
              <w:t>6</w:t>
            </w:r>
            <w:r>
              <w:rPr>
                <w:rFonts w:ascii="宋体" w:hAnsi="宋体"/>
                <w:b/>
                <w:sz w:val="24"/>
                <w:szCs w:val="24"/>
              </w:rPr>
              <w:t>、佘总，您好！当下AI行业浪潮的影响下，市场PCB上游材料普遍紧缺，请问目前贵司供给端供货稳定吗？在这种情况下如何保障产能满足客户需求？</w:t>
            </w:r>
          </w:p>
          <w:p w14:paraId="182A6BCD">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针对原材料价格波动与供应链安全保障，公司已第一时间启动全链条供应链保障体系，包括（1）深化与核心供应商的长期战略合作，通过长期协议锁定基础产能与供应优先级，结合客户订单预判提前锁量锁价，保障核心生产物料稳定供应；（2）加速推进供应链多元化与国产替代验证，在严格符合客户质量标准与产品认证要求的前提下，持续拓展合格供应商体系，分散供应风险、优化采购成本；（3）动态调整安全库存策略，针对高端基材、特种铜箔等紧缺关键物料提前完成战略备货与产能预留，充分保障高端产品研发与后续量产交付需求。感谢您的关注！</w:t>
            </w:r>
          </w:p>
          <w:p w14:paraId="2E765FEE">
            <w:pPr>
              <w:pStyle w:val="11"/>
              <w:spacing w:before="156" w:beforeLines="50" w:line="360" w:lineRule="auto"/>
              <w:ind w:firstLine="482"/>
              <w:rPr>
                <w:rFonts w:hint="eastAsia" w:ascii="宋体" w:hAnsi="宋体"/>
                <w:b/>
                <w:sz w:val="24"/>
                <w:szCs w:val="24"/>
              </w:rPr>
            </w:pPr>
            <w:r>
              <w:rPr>
                <w:rFonts w:hint="eastAsia" w:ascii="宋体" w:hAnsi="宋体"/>
                <w:b/>
                <w:sz w:val="24"/>
                <w:szCs w:val="24"/>
                <w:lang w:val="en-US" w:eastAsia="zh-CN"/>
              </w:rPr>
              <w:t>7</w:t>
            </w:r>
            <w:r>
              <w:rPr>
                <w:rFonts w:ascii="宋体" w:hAnsi="宋体"/>
                <w:b/>
                <w:sz w:val="24"/>
                <w:szCs w:val="24"/>
              </w:rPr>
              <w:t>、请问公司领导，公司业绩三季度会有所改善</w:t>
            </w:r>
            <w:r>
              <w:rPr>
                <w:rFonts w:hint="eastAsia" w:ascii="宋体" w:hAnsi="宋体"/>
                <w:b/>
                <w:sz w:val="24"/>
                <w:szCs w:val="24"/>
                <w:lang w:eastAsia="zh-CN"/>
              </w:rPr>
              <w:t>吗？</w:t>
            </w:r>
          </w:p>
          <w:p w14:paraId="0E4AF9BE">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公司与客户协商的调价在8月份已经全部执行，并制定了后续联动调价机制。调价后对应的订单确认收入将在三季度陆续体现，预计提价将有效覆盖原材料成本上涨带来的盈利压力。实际经营成果受原材料价格波动、汇率变动、产能爬坡进度等因素影响存在不确定性，敬请投资者注意投资风险</w:t>
            </w:r>
            <w:r>
              <w:rPr>
                <w:rFonts w:hint="eastAsia" w:ascii="宋体" w:hAnsi="宋体"/>
                <w:sz w:val="24"/>
                <w:szCs w:val="24"/>
              </w:rPr>
              <w:t>，</w:t>
            </w:r>
            <w:r>
              <w:rPr>
                <w:rFonts w:ascii="宋体" w:hAnsi="宋体"/>
                <w:sz w:val="24"/>
                <w:szCs w:val="24"/>
              </w:rPr>
              <w:t>感谢您的关注！</w:t>
            </w:r>
          </w:p>
          <w:p w14:paraId="6D5B9E0D">
            <w:pPr>
              <w:pStyle w:val="11"/>
              <w:spacing w:before="156" w:beforeLines="50" w:line="360" w:lineRule="auto"/>
              <w:ind w:firstLine="482"/>
              <w:rPr>
                <w:rFonts w:hint="eastAsia" w:ascii="宋体" w:hAnsi="宋体"/>
                <w:b/>
                <w:sz w:val="24"/>
                <w:szCs w:val="24"/>
              </w:rPr>
            </w:pPr>
            <w:r>
              <w:rPr>
                <w:rFonts w:hint="eastAsia" w:ascii="宋体" w:hAnsi="宋体"/>
                <w:b/>
                <w:sz w:val="24"/>
                <w:szCs w:val="24"/>
                <w:lang w:val="en-US" w:eastAsia="zh-CN"/>
              </w:rPr>
              <w:t>8</w:t>
            </w:r>
            <w:r>
              <w:rPr>
                <w:rFonts w:ascii="宋体" w:hAnsi="宋体"/>
                <w:b/>
                <w:sz w:val="24"/>
                <w:szCs w:val="24"/>
              </w:rPr>
              <w:t>、请问贵司芯创智载工厂基建情况如何？预计什么时候能投标？</w:t>
            </w:r>
          </w:p>
          <w:p w14:paraId="6ECB431E">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尊敬的投资者，您好！芯创智载项目目前有序推进主体建设，公司已于2026年第一季度在现有厂区建成芯片内嵌式PCB中试线，可承接客户小批量需求并同步开展产品可靠性验证。感谢您的关注！</w:t>
            </w:r>
          </w:p>
          <w:p w14:paraId="06DAD368">
            <w:pPr>
              <w:pStyle w:val="11"/>
              <w:spacing w:before="156" w:beforeLines="50" w:line="360" w:lineRule="auto"/>
              <w:ind w:firstLine="482"/>
              <w:rPr>
                <w:rFonts w:hint="eastAsia" w:ascii="宋体" w:hAnsi="宋体"/>
                <w:b/>
                <w:sz w:val="24"/>
                <w:szCs w:val="24"/>
              </w:rPr>
            </w:pPr>
            <w:r>
              <w:rPr>
                <w:rFonts w:hint="eastAsia" w:ascii="宋体" w:hAnsi="宋体"/>
                <w:b/>
                <w:sz w:val="24"/>
                <w:szCs w:val="24"/>
                <w:lang w:val="en-US" w:eastAsia="zh-CN"/>
              </w:rPr>
              <w:t>9</w:t>
            </w:r>
            <w:r>
              <w:rPr>
                <w:rFonts w:ascii="宋体" w:hAnsi="宋体"/>
                <w:b/>
                <w:sz w:val="24"/>
                <w:szCs w:val="24"/>
              </w:rPr>
              <w:t>、请问董事长，公司与TSL和SpaceX的合作进展？公司下半年如何扭转成本上升带来的利润压力？谢谢</w:t>
            </w:r>
          </w:p>
          <w:p w14:paraId="13ECF9DA">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对于T客户业务，公司持续配合客户开展产品研发与迭代，相关产品认证及订单导入按计划推进。对于商业航天，公司已完成相关技术布局和完善了体系认证，并与部分核心客户展开合作，推进项目实施</w:t>
            </w:r>
            <w:bookmarkStart w:id="0" w:name="_GoBack"/>
            <w:r>
              <w:rPr>
                <w:rFonts w:ascii="宋体" w:hAnsi="宋体"/>
                <w:sz w:val="24"/>
                <w:szCs w:val="24"/>
              </w:rPr>
              <w:t>产品</w:t>
            </w:r>
            <w:bookmarkEnd w:id="0"/>
            <w:r>
              <w:rPr>
                <w:rFonts w:ascii="宋体" w:hAnsi="宋体"/>
                <w:sz w:val="24"/>
                <w:szCs w:val="24"/>
              </w:rPr>
              <w:t>应用交付，相关PCB产品目前处于研发打样阶段，截至</w:t>
            </w:r>
            <w:r>
              <w:rPr>
                <w:rFonts w:hint="eastAsia" w:ascii="宋体" w:hAnsi="宋体"/>
                <w:sz w:val="24"/>
                <w:szCs w:val="24"/>
              </w:rPr>
              <w:t>2026年半年度</w:t>
            </w:r>
            <w:r>
              <w:rPr>
                <w:rFonts w:ascii="宋体" w:hAnsi="宋体"/>
                <w:sz w:val="24"/>
                <w:szCs w:val="24"/>
              </w:rPr>
              <w:t>报告期末未实施量产。为了应对成本上升，公司新料号在定价时已充分考虑原材料涨价与供需结构，海外客户重视保供，接受度较高。公司将适度加大原材料策略备库、优化库存管理，同时持续优化产品结构，提升高阶HDI、嵌入式PCB等高附加值产品占比，多举措并行对冲成本上涨的压力，驱动公司整体盈利能力的稳步修复。感谢您的关注！</w:t>
            </w:r>
          </w:p>
          <w:p w14:paraId="0539D519">
            <w:pPr>
              <w:pStyle w:val="11"/>
              <w:spacing w:before="156" w:beforeLines="50" w:line="360" w:lineRule="auto"/>
              <w:ind w:firstLine="482"/>
              <w:rPr>
                <w:rFonts w:hint="eastAsia" w:ascii="宋体" w:hAnsi="宋体"/>
                <w:b/>
                <w:sz w:val="24"/>
                <w:szCs w:val="24"/>
              </w:rPr>
            </w:pPr>
            <w:r>
              <w:rPr>
                <w:rFonts w:ascii="宋体" w:hAnsi="宋体"/>
                <w:b/>
                <w:sz w:val="24"/>
                <w:szCs w:val="24"/>
              </w:rPr>
              <w:t>1</w:t>
            </w:r>
            <w:r>
              <w:rPr>
                <w:rFonts w:hint="eastAsia" w:ascii="宋体" w:hAnsi="宋体"/>
                <w:b/>
                <w:sz w:val="24"/>
                <w:szCs w:val="24"/>
                <w:lang w:val="en-US" w:eastAsia="zh-CN"/>
              </w:rPr>
              <w:t>0</w:t>
            </w:r>
            <w:r>
              <w:rPr>
                <w:rFonts w:ascii="宋体" w:hAnsi="宋体"/>
                <w:b/>
                <w:sz w:val="24"/>
                <w:szCs w:val="24"/>
              </w:rPr>
              <w:t>、有研报说过INP的事，公司是否与相关企业探讨合作，最近会有新的进展吗？</w:t>
            </w:r>
          </w:p>
          <w:p w14:paraId="16B0DCB4">
            <w:pPr>
              <w:pStyle w:val="11"/>
              <w:spacing w:before="156" w:beforeLines="50" w:line="360" w:lineRule="auto"/>
              <w:ind w:firstLine="480"/>
              <w:rPr>
                <w:rFonts w:hint="eastAsia" w:ascii="宋体" w:hAnsi="宋体"/>
                <w:sz w:val="24"/>
                <w:szCs w:val="24"/>
              </w:rPr>
            </w:pPr>
            <w:r>
              <w:rPr>
                <w:rFonts w:ascii="宋体" w:hAnsi="宋体"/>
                <w:sz w:val="24"/>
                <w:szCs w:val="24"/>
              </w:rPr>
              <w:t>尊敬的投资者，您好！公司目前</w:t>
            </w:r>
            <w:r>
              <w:rPr>
                <w:rFonts w:hint="eastAsia" w:ascii="宋体" w:hAnsi="宋体"/>
                <w:sz w:val="24"/>
                <w:szCs w:val="24"/>
              </w:rPr>
              <w:t>并</w:t>
            </w:r>
            <w:r>
              <w:rPr>
                <w:rFonts w:ascii="宋体" w:hAnsi="宋体"/>
                <w:sz w:val="24"/>
                <w:szCs w:val="24"/>
              </w:rPr>
              <w:t>未就INP相关业务对外披露合作洽谈事项，公司信息请以公司在上海证券交易所官网发布的公告为准。感谢您的关注！</w:t>
            </w:r>
          </w:p>
          <w:p w14:paraId="1A0F96D9">
            <w:pPr>
              <w:pStyle w:val="11"/>
              <w:spacing w:before="156" w:beforeLines="50" w:line="360" w:lineRule="auto"/>
              <w:ind w:firstLine="482"/>
              <w:rPr>
                <w:rFonts w:hint="eastAsia" w:ascii="宋体" w:hAnsi="宋体"/>
                <w:b/>
                <w:sz w:val="24"/>
                <w:szCs w:val="24"/>
              </w:rPr>
            </w:pPr>
            <w:r>
              <w:rPr>
                <w:rFonts w:ascii="宋体" w:hAnsi="宋体"/>
                <w:b/>
                <w:sz w:val="24"/>
                <w:szCs w:val="24"/>
              </w:rPr>
              <w:t>1</w:t>
            </w:r>
            <w:r>
              <w:rPr>
                <w:rFonts w:hint="eastAsia" w:ascii="宋体" w:hAnsi="宋体"/>
                <w:b/>
                <w:sz w:val="24"/>
                <w:szCs w:val="24"/>
                <w:lang w:val="en-US" w:eastAsia="zh-CN"/>
              </w:rPr>
              <w:t>1</w:t>
            </w:r>
            <w:r>
              <w:rPr>
                <w:rFonts w:ascii="宋体" w:hAnsi="宋体"/>
                <w:b/>
                <w:sz w:val="24"/>
                <w:szCs w:val="24"/>
              </w:rPr>
              <w:t>、请问公司泰国工厂目前的爬坡进度如何？相关主要客户的产品认证是否已经完成？第三季度每月大概能够实现多少平的产能？</w:t>
            </w:r>
          </w:p>
          <w:p w14:paraId="631AB1CF">
            <w:pPr>
              <w:pStyle w:val="11"/>
              <w:spacing w:before="156" w:beforeLines="50" w:line="360" w:lineRule="auto"/>
              <w:ind w:firstLine="480"/>
              <w:rPr>
                <w:rFonts w:hint="eastAsia" w:ascii="宋体" w:hAnsi="宋体"/>
                <w:bCs/>
                <w:iCs/>
                <w:color w:val="000000"/>
                <w:sz w:val="24"/>
              </w:rPr>
            </w:pPr>
            <w:r>
              <w:rPr>
                <w:rFonts w:ascii="宋体" w:hAnsi="宋体"/>
                <w:sz w:val="24"/>
                <w:szCs w:val="24"/>
              </w:rPr>
              <w:t>尊敬的投资者，您好！公司泰国工厂已进入量产爬坡阶段，并通过部分核心客户的认证，同时持续推进新客户、新产品的认证，尽快成为公司的核心产能。感谢您的关注！</w:t>
            </w:r>
          </w:p>
        </w:tc>
      </w:tr>
      <w:tr w14:paraId="1079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vAlign w:val="center"/>
          </w:tcPr>
          <w:p w14:paraId="0871FE9A">
            <w:pPr>
              <w:spacing w:line="420" w:lineRule="exact"/>
              <w:rPr>
                <w:rFonts w:hint="eastAsia" w:hAnsi="宋体"/>
                <w:bCs/>
                <w:iCs/>
                <w:color w:val="000000"/>
                <w:kern w:val="0"/>
                <w:sz w:val="24"/>
              </w:rPr>
            </w:pPr>
            <w:r>
              <w:rPr>
                <w:rFonts w:hint="eastAsia" w:hAnsi="宋体"/>
                <w:bCs/>
                <w:iCs/>
                <w:color w:val="000000"/>
                <w:kern w:val="0"/>
                <w:sz w:val="24"/>
              </w:rPr>
              <w:t>关于本次活动是否涉及应披露重大信息的说明</w:t>
            </w:r>
          </w:p>
        </w:tc>
        <w:tc>
          <w:tcPr>
            <w:tcW w:w="3910" w:type="pct"/>
            <w:tcBorders>
              <w:top w:val="single" w:color="auto" w:sz="4" w:space="0"/>
              <w:left w:val="single" w:color="auto" w:sz="4" w:space="0"/>
              <w:bottom w:val="single" w:color="auto" w:sz="4" w:space="0"/>
              <w:right w:val="single" w:color="auto" w:sz="4" w:space="0"/>
            </w:tcBorders>
          </w:tcPr>
          <w:p w14:paraId="1840FEBD">
            <w:pPr>
              <w:spacing w:before="156" w:beforeLines="50" w:line="360" w:lineRule="auto"/>
              <w:ind w:firstLine="0" w:firstLineChars="0"/>
              <w:rPr>
                <w:rFonts w:hint="eastAsia" w:ascii="宋体" w:hAnsi="宋体" w:eastAsia="宋体"/>
                <w:b/>
                <w:sz w:val="24"/>
                <w:lang w:eastAsia="zh-CN"/>
              </w:rPr>
            </w:pPr>
            <w:r>
              <w:rPr>
                <w:rFonts w:hint="eastAsia" w:ascii="宋体" w:hAnsi="宋体"/>
                <w:b w:val="0"/>
                <w:bCs/>
                <w:sz w:val="24"/>
                <w:lang w:val="en-US" w:eastAsia="zh-CN"/>
              </w:rPr>
              <w:t>无</w:t>
            </w:r>
          </w:p>
        </w:tc>
      </w:tr>
      <w:tr w14:paraId="142A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vAlign w:val="center"/>
          </w:tcPr>
          <w:p w14:paraId="15D63277">
            <w:pPr>
              <w:spacing w:line="420" w:lineRule="exact"/>
              <w:rPr>
                <w:rFonts w:hAnsi="宋体"/>
                <w:bCs/>
                <w:iCs/>
                <w:color w:val="000000"/>
                <w:kern w:val="0"/>
                <w:sz w:val="24"/>
              </w:rPr>
            </w:pPr>
            <w:r>
              <w:rPr>
                <w:rFonts w:hint="eastAsia" w:hAnsi="宋体"/>
                <w:bCs/>
                <w:iCs/>
                <w:color w:val="000000"/>
                <w:kern w:val="0"/>
                <w:sz w:val="24"/>
              </w:rPr>
              <w:t>活动过程中所使用的演示文稿、提供文档等附件（如有）</w:t>
            </w:r>
          </w:p>
        </w:tc>
        <w:tc>
          <w:tcPr>
            <w:tcW w:w="3910" w:type="pct"/>
            <w:tcBorders>
              <w:top w:val="single" w:color="auto" w:sz="4" w:space="0"/>
              <w:left w:val="single" w:color="auto" w:sz="4" w:space="0"/>
              <w:bottom w:val="single" w:color="auto" w:sz="4" w:space="0"/>
              <w:right w:val="single" w:color="auto" w:sz="4" w:space="0"/>
            </w:tcBorders>
          </w:tcPr>
          <w:p w14:paraId="555AB6FA">
            <w:pPr>
              <w:spacing w:line="420" w:lineRule="exact"/>
              <w:rPr>
                <w:bCs/>
                <w:iCs/>
                <w:color w:val="000000"/>
                <w:sz w:val="24"/>
              </w:rPr>
            </w:pPr>
            <w:r>
              <w:rPr>
                <w:rFonts w:hint="eastAsia"/>
                <w:bCs/>
                <w:iCs/>
                <w:color w:val="000000"/>
                <w:sz w:val="24"/>
              </w:rPr>
              <w:t>无</w:t>
            </w:r>
          </w:p>
        </w:tc>
      </w:tr>
    </w:tbl>
    <w:p w14:paraId="085B383E"/>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5307D">
    <w:pPr>
      <w:pStyle w:val="4"/>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35489">
    <w:pPr>
      <w:pStyle w:val="5"/>
      <w:pBdr>
        <w:bottom w:val="single" w:color="auto" w:sz="4" w:space="0"/>
      </w:pBdr>
      <w:ind w:firstLine="3960" w:firstLineChars="2200"/>
      <w:jc w:val="left"/>
    </w:pPr>
    <w:r>
      <w:drawing>
        <wp:anchor distT="0" distB="0" distL="114300" distR="114300" simplePos="0" relativeHeight="251659264" behindDoc="0" locked="0" layoutInCell="1" allowOverlap="1">
          <wp:simplePos x="0" y="0"/>
          <wp:positionH relativeFrom="margin">
            <wp:posOffset>-55245</wp:posOffset>
          </wp:positionH>
          <wp:positionV relativeFrom="paragraph">
            <wp:posOffset>-165100</wp:posOffset>
          </wp:positionV>
          <wp:extent cx="714375" cy="287655"/>
          <wp:effectExtent l="0" t="0" r="0" b="7620"/>
          <wp:wrapNone/>
          <wp:docPr id="3381036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103605"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14375" cy="287655"/>
                  </a:xfrm>
                  <a:prstGeom prst="rect">
                    <a:avLst/>
                  </a:prstGeom>
                  <a:noFill/>
                  <a:ln>
                    <a:noFill/>
                  </a:ln>
                </pic:spPr>
              </pic:pic>
            </a:graphicData>
          </a:graphic>
        </wp:anchor>
      </w:drawing>
    </w:r>
    <w:r>
      <w:rPr>
        <w:rFonts w:hint="eastAsia" w:ascii="宋体" w:hAnsi="宋体" w:eastAsia="宋体"/>
      </w:rPr>
      <w:t>广东世运电路科技股份有限公司投资者关系活动记录表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6333C"/>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1719"/>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9559E"/>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96CBE"/>
    <w:rsid w:val="004A0BD5"/>
    <w:rsid w:val="004A1BBF"/>
    <w:rsid w:val="004A73E5"/>
    <w:rsid w:val="004C19BF"/>
    <w:rsid w:val="004D7640"/>
    <w:rsid w:val="004E1A9B"/>
    <w:rsid w:val="00500AB6"/>
    <w:rsid w:val="005155FB"/>
    <w:rsid w:val="00523907"/>
    <w:rsid w:val="00534F5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04B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523C3"/>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3680"/>
    <w:rsid w:val="00AA5998"/>
    <w:rsid w:val="00AB07E7"/>
    <w:rsid w:val="00AD1BA8"/>
    <w:rsid w:val="00AE32AC"/>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2013C"/>
    <w:rsid w:val="00E32528"/>
    <w:rsid w:val="00E35F26"/>
    <w:rsid w:val="00E53165"/>
    <w:rsid w:val="00E61EF7"/>
    <w:rsid w:val="00E663B4"/>
    <w:rsid w:val="00E80CEB"/>
    <w:rsid w:val="00EA5103"/>
    <w:rsid w:val="00EA6FB9"/>
    <w:rsid w:val="00EB5E6A"/>
    <w:rsid w:val="00EC2AD7"/>
    <w:rsid w:val="00ED7DE0"/>
    <w:rsid w:val="00EE6B79"/>
    <w:rsid w:val="00EE7891"/>
    <w:rsid w:val="00EF49FE"/>
    <w:rsid w:val="00EF5341"/>
    <w:rsid w:val="00F04908"/>
    <w:rsid w:val="00F07C21"/>
    <w:rsid w:val="00F12EF6"/>
    <w:rsid w:val="00F21065"/>
    <w:rsid w:val="00F24CB4"/>
    <w:rsid w:val="00F43465"/>
    <w:rsid w:val="00F45475"/>
    <w:rsid w:val="00F64E72"/>
    <w:rsid w:val="00F70C7D"/>
    <w:rsid w:val="00F87DA6"/>
    <w:rsid w:val="00F9272E"/>
    <w:rsid w:val="00F97743"/>
    <w:rsid w:val="00FA6DAF"/>
    <w:rsid w:val="00FC6884"/>
    <w:rsid w:val="00FE62F3"/>
    <w:rsid w:val="00FF71D2"/>
    <w:rsid w:val="04184DF3"/>
    <w:rsid w:val="0E707BF7"/>
    <w:rsid w:val="1B2418A5"/>
    <w:rsid w:val="1F2B5BA0"/>
    <w:rsid w:val="1FBFC074"/>
    <w:rsid w:val="28B430AA"/>
    <w:rsid w:val="2B9D2D50"/>
    <w:rsid w:val="34BD0952"/>
    <w:rsid w:val="36FB9E1F"/>
    <w:rsid w:val="3BFA3B96"/>
    <w:rsid w:val="3CEF3472"/>
    <w:rsid w:val="3D5924DD"/>
    <w:rsid w:val="3EFF16E9"/>
    <w:rsid w:val="4EB72B76"/>
    <w:rsid w:val="5BEA2D2F"/>
    <w:rsid w:val="676E08D0"/>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link w:val="20"/>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8"/>
    <w:uiPriority w:val="0"/>
    <w:pPr>
      <w:jc w:val="left"/>
    </w:pPr>
  </w:style>
  <w:style w:type="paragraph" w:styleId="4">
    <w:name w:val="footer"/>
    <w:basedOn w:val="1"/>
    <w:link w:val="15"/>
    <w:qFormat/>
    <w:uiPriority w:val="0"/>
    <w:pPr>
      <w:tabs>
        <w:tab w:val="center" w:pos="4153"/>
        <w:tab w:val="right" w:pos="8306"/>
      </w:tabs>
      <w:snapToGrid w:val="0"/>
      <w:jc w:val="left"/>
    </w:pPr>
    <w:rPr>
      <w:sz w:val="18"/>
      <w:szCs w:val="18"/>
    </w:rPr>
  </w:style>
  <w:style w:type="paragraph" w:styleId="5">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7">
    <w:name w:val="annotation subject"/>
    <w:basedOn w:val="3"/>
    <w:next w:val="3"/>
    <w:link w:val="19"/>
    <w:uiPriority w:val="0"/>
    <w:rPr>
      <w:b/>
      <w:bCs/>
    </w:rPr>
  </w:style>
  <w:style w:type="character" w:styleId="10">
    <w:name w:val="annotation reference"/>
    <w:basedOn w:val="9"/>
    <w:uiPriority w:val="0"/>
    <w:rPr>
      <w:sz w:val="21"/>
      <w:szCs w:val="21"/>
    </w:rPr>
  </w:style>
  <w:style w:type="paragraph" w:customStyle="1" w:styleId="11">
    <w:name w:val="_Style 6"/>
    <w:basedOn w:val="1"/>
    <w:qFormat/>
    <w:uiPriority w:val="34"/>
    <w:pPr>
      <w:ind w:firstLine="420" w:firstLineChars="200"/>
    </w:pPr>
    <w:rPr>
      <w:rFonts w:ascii="Calibri" w:hAnsi="Calibri"/>
      <w:szCs w:val="22"/>
    </w:rPr>
  </w:style>
  <w:style w:type="paragraph" w:customStyle="1" w:styleId="12">
    <w:name w:val="Char Char Char"/>
    <w:basedOn w:val="1"/>
    <w:qFormat/>
    <w:uiPriority w:val="0"/>
    <w:rPr>
      <w:szCs w:val="21"/>
    </w:rPr>
  </w:style>
  <w:style w:type="paragraph" w:customStyle="1" w:styleId="13">
    <w:name w:val="Char Char Char Char Char Char Char Char Char Char Char Char Char Char Char Char"/>
    <w:basedOn w:val="1"/>
    <w:qFormat/>
    <w:uiPriority w:val="0"/>
  </w:style>
  <w:style w:type="paragraph" w:customStyle="1" w:styleId="14">
    <w:name w:val="Char Char Char1"/>
    <w:basedOn w:val="1"/>
    <w:qFormat/>
    <w:uiPriority w:val="0"/>
  </w:style>
  <w:style w:type="character" w:customStyle="1" w:styleId="15">
    <w:name w:val="页脚 字符"/>
    <w:basedOn w:val="9"/>
    <w:link w:val="4"/>
    <w:qFormat/>
    <w:uiPriority w:val="0"/>
    <w:rPr>
      <w:kern w:val="2"/>
      <w:sz w:val="18"/>
      <w:szCs w:val="18"/>
    </w:rPr>
  </w:style>
  <w:style w:type="character" w:customStyle="1" w:styleId="16">
    <w:name w:val="页眉 字符"/>
    <w:basedOn w:val="9"/>
    <w:link w:val="5"/>
    <w:qFormat/>
    <w:uiPriority w:val="0"/>
    <w:rPr>
      <w:kern w:val="2"/>
      <w:sz w:val="18"/>
      <w:szCs w:val="18"/>
    </w:rPr>
  </w:style>
  <w:style w:type="paragraph" w:customStyle="1" w:styleId="17">
    <w:name w:val="修订1"/>
    <w:hidden/>
    <w:unhideWhenUsed/>
    <w:uiPriority w:val="99"/>
    <w:rPr>
      <w:rFonts w:ascii="Times New Roman" w:hAnsi="Times New Roman" w:eastAsia="宋体" w:cs="Times New Roman"/>
      <w:kern w:val="2"/>
      <w:sz w:val="21"/>
      <w:szCs w:val="24"/>
      <w:lang w:val="en-US" w:eastAsia="zh-CN" w:bidi="ar-SA"/>
    </w:rPr>
  </w:style>
  <w:style w:type="character" w:customStyle="1" w:styleId="18">
    <w:name w:val="批注文字 字符"/>
    <w:basedOn w:val="9"/>
    <w:link w:val="3"/>
    <w:qFormat/>
    <w:uiPriority w:val="0"/>
    <w:rPr>
      <w:kern w:val="2"/>
      <w:sz w:val="21"/>
      <w:szCs w:val="24"/>
    </w:rPr>
  </w:style>
  <w:style w:type="character" w:customStyle="1" w:styleId="19">
    <w:name w:val="批注主题 字符"/>
    <w:basedOn w:val="18"/>
    <w:link w:val="7"/>
    <w:qFormat/>
    <w:uiPriority w:val="0"/>
    <w:rPr>
      <w:b/>
      <w:bCs/>
      <w:kern w:val="2"/>
      <w:sz w:val="21"/>
      <w:szCs w:val="24"/>
    </w:rPr>
  </w:style>
  <w:style w:type="character" w:customStyle="1" w:styleId="20">
    <w:name w:val="标题 4 字符"/>
    <w:basedOn w:val="9"/>
    <w:link w:val="2"/>
    <w:semiHidden/>
    <w:uiPriority w:val="0"/>
    <w:rPr>
      <w:rFonts w:asciiTheme="majorHAnsi" w:hAnsiTheme="majorHAnsi" w:eastAsiaTheme="majorEastAsia" w:cstheme="majorBidi"/>
      <w:b/>
      <w:bCs/>
      <w:kern w:val="2"/>
      <w:sz w:val="28"/>
      <w:szCs w:val="28"/>
    </w:rPr>
  </w:style>
  <w:style w:type="paragraph" w:customStyle="1" w:styleId="21">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6221d492-b1f4-433a-b619-6afbf53d1967</errorID>
      <errorWord>下午15:30</errorWord>
      <group>L1_Knowledge</group>
      <groupName>知识性问题</groupName>
      <ability>L2_Time</ability>
      <abilityName>日期时间</abilityName>
      <candidateList>
        <item>15:30</item>
      </candidateList>
      <explain>24小时制的时间，不需要强调“下午”。</explain>
      <paraID>11177DAE</paraID>
      <start>14</start>
      <end>19</end>
      <status>modified</status>
      <modifiedWord>15:30</modifiedWord>
      <trackRevisions>false</trackRevisions>
    </reviewItem>
    <reviewItem>
      <errorID>44d17e5f-aae9-4ce2-964b-6056c8e39864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3944F250</paraID>
      <start>0</start>
      <end>2</end>
      <status>unmodified</status>
      <modifiedWord/>
      <trackRevisions>false</trackRevisions>
    </reviewItem>
    <reviewItem>
      <errorID>0e0e06bc-78b0-43ad-9928-3e30fbcfe3d8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2510AAE0</paraID>
      <start>0</start>
      <end>2</end>
      <status>unmodified</status>
      <modifiedWord/>
      <trackRevisions>false</trackRevisions>
    </reviewItem>
    <reviewItem>
      <errorID>f479f10f-ac6c-46cd-a555-a0e40def3b0d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B78159D</paraID>
      <start>0</start>
      <end>2</end>
      <status>unmodified</status>
      <modifiedWord/>
      <trackRevisions>false</trackRevisions>
    </reviewItem>
    <reviewItem>
      <errorID>527dce80-3033-421a-8bc6-e71832cfc672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18E1F165</paraID>
      <start>0</start>
      <end>2</end>
      <status>unmodified</status>
      <modifiedWord/>
      <trackRevisions>false</trackRevisions>
    </reviewItem>
    <reviewItem>
      <errorID>c58c68c3-791b-49e8-9822-f557ad1510a5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6EF61523</paraID>
      <start>0</start>
      <end>2</end>
      <status>unmodified</status>
      <modifiedWord/>
      <trackRevisions>false</trackRevisions>
    </reviewItem>
    <reviewItem>
      <errorID>13b0bab6-5c22-4d07-8a46-811d22ce5056</errorID>
      <errorWord>关注</errorWord>
      <group>L1_Punc</group>
      <groupName>标点问题</groupName>
      <ability>L2_Punc_CN</ability>
      <abilityName>标点符号问题</abilityName>
      <candidateList>
        <item>关注！</item>
      </candidateList>
      <explain/>
      <paraID>7195D9B2</paraID>
      <start>99</start>
      <end>101</end>
      <status>unmodified</status>
      <modifiedWord/>
      <trackRevisions>false</trackRevisions>
    </reviewItem>
    <reviewItem>
      <errorID>bf4335c2-cdff-4417-9f9e-816f29d29b90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1CCD76C8</paraID>
      <start>0</start>
      <end>2</end>
      <status>unmodified</status>
      <modifiedWord/>
      <trackRevisions>false</trackRevisions>
    </reviewItem>
    <reviewItem>
      <errorID>1d5fa196-b52c-40ee-80a4-3019108ce6fc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2600123C</paraID>
      <start>0</start>
      <end>2</end>
      <status>unmodified</status>
      <modifiedWord/>
      <trackRevisions>false</trackRevisions>
    </reviewItem>
    <reviewItem>
      <errorID>dd59b71f-790d-4808-a453-856b2ab1be2b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7626430B</paraID>
      <start>0</start>
      <end>2</end>
      <status>unmodified</status>
      <modifiedWord/>
      <trackRevisions>false</trackRevisions>
    </reviewItem>
    <reviewItem>
      <errorID>3af19572-1459-434c-8086-e35b595902ac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1CABFDEE</paraID>
      <start>0</start>
      <end>2</end>
      <status>unmodified</status>
      <modifiedWord/>
      <trackRevisions>false</trackRevisions>
    </reviewItem>
    <reviewItem>
      <errorID>da0521b6-7ca2-4eb4-967b-cf5e75c0bc17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6A5D4B9B</paraID>
      <start>0</start>
      <end>2</end>
      <status>unmodified</status>
      <modifiedWord/>
      <trackRevisions>false</trackRevisions>
    </reviewItem>
    <reviewItem>
      <errorID>fea5879e-ebae-4f42-a6ee-ac608045a910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2E765FEE</paraID>
      <start>0</start>
      <end>2</end>
      <status>unmodified</status>
      <modifiedWord/>
      <trackRevisions>false</trackRevisions>
    </reviewItem>
    <reviewItem>
      <errorID>0dbfb9af-2b38-438c-944c-19bd9c622696</errorID>
      <errorWord>吗</errorWord>
      <group>L1_Punc</group>
      <groupName>标点问题</groupName>
      <ability>L2_Punc_CN</ability>
      <abilityName>标点符号问题</abilityName>
      <candidateList>
        <item>吗？</item>
      </candidateList>
      <explain/>
      <paraID>2E765FEE</paraID>
      <start>21</start>
      <end>23</end>
      <status>modified</status>
      <modifiedWord>吗？</modifiedWord>
      <trackRevisions>false</trackRevisions>
    </reviewItem>
    <reviewItem>
      <errorID>3bf4699f-0f08-43f8-818c-8151da301b97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6D5B9E0D</paraID>
      <start>0</start>
      <end>2</end>
      <status>unmodified</status>
      <modifiedWord/>
      <trackRevisions>false</trackRevisions>
    </reviewItem>
    <reviewItem>
      <errorID>53688858-ace8-4151-b66d-7aba24590f3c</errorID>
      <errorWord>芯创智载工厂</errorWord>
      <group>L1_Other</group>
      <groupName>其他问题</groupName>
      <ability>L2_Consistency</ability>
      <abilityName>一致性检查</abilityName>
      <candidateList>
        <item>芯创智载项目</item>
      </candidateList>
      <explain>术语一致性错误，原文此前统一将该项目称为“芯创智载”项目，此处表述不一致</explain>
      <paraID>6D5B9E0D</paraID>
      <start>6</start>
      <end>12</end>
      <status>unmodified</status>
      <modifiedWord/>
      <trackRevisions>false</trackRevisions>
    </reviewItem>
    <reviewItem>
      <errorID>cfbea5b3-2f93-4e2e-912f-10c296f4735b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6DAD368</paraID>
      <start>0</start>
      <end>2</end>
      <status>unmodified</status>
      <modifiedWord/>
      <trackRevisions>false</trackRevisions>
    </reviewItem>
    <reviewItem>
      <errorID>86e24e59-33c2-408c-88af-4883d572db6b</errorID>
      <errorWord>？</errorWord>
      <group>L1_Grammar</group>
      <groupName>语法问题</groupName>
      <ability>L2_Grammar</ability>
      <abilityName>语法错误</abilityName>
      <candidateList>
        <item>如何？</item>
      </candidateList>
      <explain/>
      <paraID> 6DAD368</paraID>
      <start>26</start>
      <end>27</end>
      <status>unmodified</status>
      <modifiedWord/>
      <trackRevisions>false</trackRevisions>
    </reviewItem>
    <reviewItem>
      <errorID>9acb1762-c06b-4317-ba0d-211d44d8472f</errorID>
      <errorWord>扭转</errorWord>
      <group>L1_Word</group>
      <groupName>字词问题</groupName>
      <ability>L2_Typo</ability>
      <abilityName>字词错误</abilityName>
      <candidateList>
        <item>应对</item>
      </candidateList>
      <explain/>
      <paraID> 6DAD368</paraID>
      <start>34</start>
      <end>36</end>
      <status>unmodified</status>
      <modifiedWord/>
      <trackRevisions>false</trackRevisions>
    </reviewItem>
    <reviewItem>
      <errorID>b591f80f-5321-48bf-8d77-76138484cbb2</errorID>
      <errorWord>产品</errorWord>
      <group>L1_Punc</group>
      <groupName>标点问题</groupName>
      <ability>L2_Punc_CN</ability>
      <abilityName>标点符号问题</abilityName>
      <candidateList>
        <item>、产品</item>
      </candidateList>
      <explain/>
      <paraID>13ECF9DA</paraID>
      <start>99</start>
      <end>101</end>
      <status>unmodified</status>
      <modifiedWord/>
      <trackRevisions>false</trackRevisions>
    </reviewItem>
    <reviewItem>
      <errorID>175efd87-8cb1-4122-ac20-017d5852e13b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539D519</paraID>
      <start>0</start>
      <end>3</end>
      <status>unmodified</status>
      <modifiedWord/>
      <trackRevisions>false</trackRevisions>
    </reviewItem>
    <reviewItem>
      <errorID>97907c12-4aec-42f7-9d70-a1beb197b3a6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1A0F96D9</paraID>
      <start>0</start>
      <end>3</end>
      <status>unmodified</status>
      <modifiedWord/>
      <trackRevisions>false</trackRevisions>
    </reviewItem>
    <reviewItem>
      <errorID>59096d4b-9f68-440c-a735-2f662d90ae42</errorID>
      <errorWord>多少平</errorWord>
      <group>L1_Word</group>
      <groupName>字词问题</groupName>
      <ability>L2_Typo</ability>
      <abilityName>字词错误</abilityName>
      <candidateList>
        <item>多少</item>
      </candidateList>
      <explain/>
      <paraID>1A0F96D9</paraID>
      <start>51</start>
      <end>54</end>
      <status>unmodified</status>
      <modifiedWord/>
      <trackRevisions>false</trackRevisions>
    </reviewItem>
  </reviewItems>
  <config/>
</contractReview>
</file>

<file path=customXml/itemProps1.xml><?xml version="1.0" encoding="utf-8"?>
<ds:datastoreItem xmlns:ds="http://schemas.openxmlformats.org/officeDocument/2006/customXml" ds:itemID="{bd79eaec-459e-4889-a915-5e0957a9234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2479</Words>
  <Characters>2589</Characters>
  <Lines>83</Lines>
  <Paragraphs>56</Paragraphs>
  <TotalTime>18</TotalTime>
  <ScaleCrop>false</ScaleCrop>
  <LinksUpToDate>false</LinksUpToDate>
  <CharactersWithSpaces>2720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2026-09-16T08:52:00Z</dcterms:created>
  <dc:creator>微软用户</dc:creator>
  <cp:lastModifiedBy>陈结文</cp:lastModifiedBy>
  <cp:lastPrinted>2014-02-21T05:34:00Z</cp:lastPrinted>
  <dcterms:modified xsi:type="dcterms:W3CDTF">2026-09-16T09:41:30Z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92E030EEB8E34557BC4F1951469903BE_13</vt:lpwstr>
  </property>
  <property fmtid="{D5CDD505-2E9C-101B-9397-08002B2CF9AE}" pid="4" name="KSOTemplateDocerSaveRecord">
    <vt:lpwstr>eyJoZGlkIjoiYzVhNDdkYTAwMDc5YTI5N2E5NDAzMTY1ODQ4MGI3NDciLCJ1c2VySWQiOiIzNDE5NjM4MTQifQ==</vt:lpwstr>
  </property>
</Properties>
</file>