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75696">
      <w:pPr>
        <w:spacing w:before="156" w:beforeLines="50" w:after="156" w:afterLines="50" w:line="400" w:lineRule="exact"/>
        <w:rPr>
          <w:bCs/>
          <w:iCs/>
          <w:color w:val="000000"/>
          <w:sz w:val="24"/>
        </w:rPr>
      </w:pPr>
      <w:r>
        <w:rPr>
          <w:rFonts w:hint="eastAsia" w:ascii="宋体" w:hAnsi="宋体" w:eastAsia="宋体" w:cs="宋体"/>
          <w:bCs/>
          <w:iCs/>
          <w:color w:val="000000"/>
          <w:sz w:val="24"/>
        </w:rPr>
        <w:t>证券代码：</w:t>
      </w:r>
      <w:r>
        <w:rPr>
          <w:rFonts w:hint="eastAsia" w:ascii="宋体" w:hAnsi="宋体" w:eastAsia="宋体" w:cs="宋体"/>
          <w:color w:val="000000"/>
          <w:sz w:val="24"/>
        </w:rPr>
        <w:t xml:space="preserve">600336     </w:t>
      </w:r>
      <w:r>
        <w:rPr>
          <w:color w:val="000000"/>
          <w:sz w:val="24"/>
        </w:rPr>
        <w:t xml:space="preserve">                               </w:t>
      </w:r>
      <w:r>
        <w:rPr>
          <w:rFonts w:hAnsi="宋体"/>
          <w:bCs/>
          <w:iCs/>
          <w:color w:val="000000"/>
          <w:sz w:val="24"/>
        </w:rPr>
        <w:t>证券简称：</w:t>
      </w:r>
      <w:r>
        <w:rPr>
          <w:color w:val="000000"/>
          <w:sz w:val="24"/>
        </w:rPr>
        <w:t>澳柯玛</w:t>
      </w:r>
    </w:p>
    <w:p w14:paraId="01E087C2">
      <w:pPr>
        <w:spacing w:before="468" w:beforeLines="150" w:after="156" w:afterLines="50" w:line="560" w:lineRule="exact"/>
        <w:jc w:val="center"/>
        <w:rPr>
          <w:rFonts w:ascii="宋体" w:hAnsi="宋体"/>
          <w:b/>
          <w:bCs/>
          <w:iCs/>
          <w:color w:val="000000"/>
          <w:sz w:val="32"/>
          <w:szCs w:val="32"/>
        </w:rPr>
      </w:pPr>
      <w:r>
        <w:rPr>
          <w:rFonts w:ascii="宋体" w:hAnsi="宋体"/>
          <w:b/>
          <w:bCs/>
          <w:iCs/>
          <w:color w:val="000000"/>
          <w:sz w:val="32"/>
          <w:szCs w:val="32"/>
        </w:rPr>
        <w:t>澳柯玛股份有限公司</w:t>
      </w:r>
      <w:r>
        <w:rPr>
          <w:rFonts w:hint="eastAsia" w:ascii="宋体" w:hAnsi="宋体"/>
          <w:b/>
          <w:bCs/>
          <w:iCs/>
          <w:color w:val="000000"/>
          <w:sz w:val="32"/>
          <w:szCs w:val="32"/>
        </w:rPr>
        <w:t>投资者关系活动记录表</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847"/>
      </w:tblGrid>
      <w:tr w14:paraId="15AF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2484883D">
            <w:pPr>
              <w:spacing w:line="420" w:lineRule="exact"/>
              <w:rPr>
                <w:bCs/>
                <w:iCs/>
                <w:color w:val="000000"/>
                <w:sz w:val="24"/>
              </w:rPr>
            </w:pPr>
            <w:r>
              <w:rPr>
                <w:rFonts w:hAnsi="宋体"/>
                <w:bCs/>
                <w:iCs/>
                <w:color w:val="000000"/>
                <w:kern w:val="0"/>
                <w:sz w:val="24"/>
              </w:rPr>
              <w:t>投资者关系活动类别</w:t>
            </w:r>
          </w:p>
        </w:tc>
        <w:tc>
          <w:tcPr>
            <w:tcW w:w="6847" w:type="dxa"/>
            <w:tcBorders>
              <w:top w:val="single" w:color="auto" w:sz="4" w:space="0"/>
              <w:left w:val="single" w:color="auto" w:sz="4" w:space="0"/>
              <w:bottom w:val="single" w:color="auto" w:sz="4" w:space="0"/>
              <w:right w:val="single" w:color="auto" w:sz="4" w:space="0"/>
            </w:tcBorders>
          </w:tcPr>
          <w:p w14:paraId="15A95079">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14:paraId="71CC1436">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rFonts w:hint="eastAsia"/>
                <w:bCs/>
                <w:iCs/>
                <w:color w:val="000000"/>
                <w:kern w:val="0"/>
                <w:sz w:val="24"/>
                <w:lang w:eastAsia="zh-CN"/>
              </w:rPr>
              <w:t>☑</w:t>
            </w:r>
            <w:r>
              <w:rPr>
                <w:rFonts w:hint="eastAsia"/>
                <w:bCs/>
                <w:iCs/>
                <w:color w:val="000000"/>
                <w:kern w:val="0"/>
                <w:sz w:val="24"/>
              </w:rPr>
              <w:t xml:space="preserve"> </w:t>
            </w:r>
            <w:r>
              <w:rPr>
                <w:rFonts w:hAnsi="宋体"/>
                <w:kern w:val="0"/>
                <w:sz w:val="24"/>
              </w:rPr>
              <w:t>业绩说明会</w:t>
            </w:r>
          </w:p>
          <w:p w14:paraId="0F57DA99">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14:paraId="59DBCC90">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14:paraId="5008C6B8">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rFonts w:hint="eastAsia" w:hAnsi="宋体"/>
                <w:kern w:val="0"/>
                <w:sz w:val="24"/>
                <w:u w:val="single"/>
              </w:rPr>
              <w:t>投资者集体接待日暨业绩说明会</w:t>
            </w:r>
            <w:r>
              <w:rPr>
                <w:rFonts w:hAnsi="宋体"/>
                <w:kern w:val="0"/>
                <w:sz w:val="24"/>
                <w:u w:val="single"/>
              </w:rPr>
              <w:t>）</w:t>
            </w:r>
          </w:p>
        </w:tc>
      </w:tr>
      <w:tr w14:paraId="45577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4C58286E">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vAlign w:val="center"/>
          </w:tcPr>
          <w:p w14:paraId="571A2703">
            <w:pPr>
              <w:spacing w:line="420" w:lineRule="exact"/>
              <w:rPr>
                <w:bCs/>
                <w:iCs/>
                <w:color w:val="000000"/>
                <w:sz w:val="24"/>
                <w:lang w:val="en-GB"/>
              </w:rPr>
            </w:pPr>
            <w:r>
              <w:rPr>
                <w:rFonts w:hint="eastAsia"/>
                <w:bCs/>
                <w:iCs/>
                <w:color w:val="000000"/>
                <w:sz w:val="24"/>
                <w:lang w:val="en-GB"/>
              </w:rPr>
              <w:t>投资者网上提问</w:t>
            </w:r>
          </w:p>
        </w:tc>
      </w:tr>
      <w:tr w14:paraId="020E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4E78737E">
            <w:pPr>
              <w:spacing w:line="420" w:lineRule="exact"/>
              <w:rPr>
                <w:bCs/>
                <w:iCs/>
                <w:color w:val="000000"/>
                <w:kern w:val="0"/>
                <w:sz w:val="24"/>
              </w:rPr>
            </w:pPr>
            <w:r>
              <w:rPr>
                <w:rFonts w:hAnsi="宋体"/>
                <w:bCs/>
                <w:iCs/>
                <w:color w:val="000000"/>
                <w:kern w:val="0"/>
                <w:sz w:val="24"/>
              </w:rPr>
              <w:t>时间</w:t>
            </w:r>
          </w:p>
        </w:tc>
        <w:tc>
          <w:tcPr>
            <w:tcW w:w="6847" w:type="dxa"/>
            <w:tcBorders>
              <w:top w:val="single" w:color="auto" w:sz="4" w:space="0"/>
              <w:left w:val="single" w:color="auto" w:sz="4" w:space="0"/>
              <w:bottom w:val="single" w:color="auto" w:sz="4" w:space="0"/>
              <w:right w:val="single" w:color="auto" w:sz="4" w:space="0"/>
            </w:tcBorders>
          </w:tcPr>
          <w:p w14:paraId="7B188F4A">
            <w:pPr>
              <w:spacing w:line="420" w:lineRule="exact"/>
              <w:rPr>
                <w:bCs/>
                <w:iCs/>
                <w:color w:val="000000"/>
                <w:sz w:val="24"/>
              </w:rPr>
            </w:pPr>
            <w:r>
              <w:rPr>
                <w:rFonts w:hint="eastAsia" w:ascii="宋体" w:hAnsi="宋体" w:eastAsia="宋体" w:cs="宋体"/>
                <w:bCs/>
                <w:iCs/>
                <w:color w:val="000000"/>
                <w:sz w:val="24"/>
              </w:rPr>
              <w:t>2026年</w:t>
            </w:r>
            <w:r>
              <w:rPr>
                <w:rFonts w:hint="eastAsia" w:ascii="宋体" w:hAnsi="宋体" w:eastAsia="宋体" w:cs="宋体"/>
                <w:bCs/>
                <w:iCs/>
                <w:color w:val="000000"/>
                <w:sz w:val="24"/>
                <w:lang w:val="en-US" w:eastAsia="zh-CN"/>
              </w:rPr>
              <w:t>9</w:t>
            </w:r>
            <w:r>
              <w:rPr>
                <w:rFonts w:hint="eastAsia" w:ascii="宋体" w:hAnsi="宋体" w:eastAsia="宋体" w:cs="宋体"/>
                <w:bCs/>
                <w:iCs/>
                <w:color w:val="000000"/>
                <w:sz w:val="24"/>
              </w:rPr>
              <w:t>月</w:t>
            </w:r>
            <w:r>
              <w:rPr>
                <w:rFonts w:hint="eastAsia" w:ascii="宋体" w:hAnsi="宋体" w:eastAsia="宋体" w:cs="宋体"/>
                <w:bCs/>
                <w:iCs/>
                <w:color w:val="000000"/>
                <w:sz w:val="24"/>
                <w:lang w:val="en-US" w:eastAsia="zh-CN"/>
              </w:rPr>
              <w:t>21</w:t>
            </w:r>
            <w:r>
              <w:rPr>
                <w:rFonts w:hint="eastAsia" w:ascii="宋体" w:hAnsi="宋体" w:eastAsia="宋体" w:cs="宋体"/>
                <w:bCs/>
                <w:iCs/>
                <w:color w:val="000000"/>
                <w:sz w:val="24"/>
              </w:rPr>
              <w:t>日 (周</w:t>
            </w:r>
            <w:r>
              <w:rPr>
                <w:rFonts w:hint="eastAsia" w:ascii="宋体" w:hAnsi="宋体" w:eastAsia="宋体" w:cs="宋体"/>
                <w:bCs/>
                <w:iCs/>
                <w:color w:val="000000"/>
                <w:sz w:val="24"/>
                <w:lang w:val="en-US" w:eastAsia="zh-CN"/>
              </w:rPr>
              <w:t>一</w:t>
            </w:r>
            <w:r>
              <w:rPr>
                <w:rFonts w:hint="eastAsia" w:ascii="宋体" w:hAnsi="宋体" w:eastAsia="宋体" w:cs="宋体"/>
                <w:bCs/>
                <w:iCs/>
                <w:color w:val="000000"/>
                <w:sz w:val="24"/>
              </w:rPr>
              <w:t>) 下午 15:00~1</w:t>
            </w:r>
            <w:r>
              <w:rPr>
                <w:rFonts w:hint="eastAsia" w:ascii="宋体" w:hAnsi="宋体" w:eastAsia="宋体" w:cs="宋体"/>
                <w:bCs/>
                <w:iCs/>
                <w:color w:val="000000"/>
                <w:sz w:val="24"/>
                <w:lang w:val="en-US" w:eastAsia="zh-CN"/>
              </w:rPr>
              <w:t>6</w:t>
            </w:r>
            <w:r>
              <w:rPr>
                <w:rFonts w:hint="eastAsia" w:ascii="宋体" w:hAnsi="宋体" w:eastAsia="宋体" w:cs="宋体"/>
                <w:bCs/>
                <w:iCs/>
                <w:color w:val="000000"/>
                <w:sz w:val="24"/>
              </w:rPr>
              <w:t>:00</w:t>
            </w:r>
          </w:p>
        </w:tc>
      </w:tr>
      <w:tr w14:paraId="4D4A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27FE3AE5">
            <w:pPr>
              <w:spacing w:line="420" w:lineRule="exact"/>
              <w:rPr>
                <w:bCs/>
                <w:iCs/>
                <w:color w:val="000000"/>
                <w:kern w:val="0"/>
                <w:sz w:val="24"/>
              </w:rPr>
            </w:pPr>
            <w:r>
              <w:rPr>
                <w:rFonts w:hAnsi="宋体"/>
                <w:bCs/>
                <w:iCs/>
                <w:color w:val="000000"/>
                <w:kern w:val="0"/>
                <w:sz w:val="24"/>
              </w:rPr>
              <w:t>地点</w:t>
            </w:r>
          </w:p>
        </w:tc>
        <w:tc>
          <w:tcPr>
            <w:tcW w:w="6847" w:type="dxa"/>
            <w:tcBorders>
              <w:top w:val="single" w:color="auto" w:sz="4" w:space="0"/>
              <w:left w:val="single" w:color="auto" w:sz="4" w:space="0"/>
              <w:bottom w:val="single" w:color="auto" w:sz="4" w:space="0"/>
              <w:right w:val="single" w:color="auto" w:sz="4" w:space="0"/>
            </w:tcBorders>
          </w:tcPr>
          <w:p w14:paraId="3156A3D9">
            <w:pPr>
              <w:spacing w:line="420" w:lineRule="exact"/>
              <w:rPr>
                <w:rFonts w:hint="eastAsia" w:ascii="宋体" w:hAnsi="宋体"/>
                <w:sz w:val="24"/>
              </w:rPr>
            </w:pPr>
            <w:r>
              <w:rPr>
                <w:rFonts w:hint="eastAsia" w:ascii="宋体" w:hAnsi="宋体"/>
                <w:sz w:val="24"/>
              </w:rPr>
              <w:t>上证路演中心 https://roadshow.sseinfo.com</w:t>
            </w:r>
          </w:p>
          <w:p w14:paraId="5C08160C">
            <w:pPr>
              <w:spacing w:line="420" w:lineRule="exact"/>
              <w:rPr>
                <w:bCs/>
                <w:iCs/>
                <w:color w:val="000000"/>
                <w:sz w:val="24"/>
              </w:rPr>
            </w:pPr>
            <w:r>
              <w:rPr>
                <w:rFonts w:hint="eastAsia" w:ascii="宋体" w:hAnsi="宋体"/>
                <w:sz w:val="24"/>
              </w:rPr>
              <w:t>网络文字互动</w:t>
            </w:r>
          </w:p>
        </w:tc>
      </w:tr>
      <w:tr w14:paraId="67F0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5" w:hRule="atLeast"/>
        </w:trPr>
        <w:tc>
          <w:tcPr>
            <w:tcW w:w="1908" w:type="dxa"/>
            <w:tcBorders>
              <w:top w:val="single" w:color="auto" w:sz="4" w:space="0"/>
              <w:left w:val="single" w:color="auto" w:sz="4" w:space="0"/>
              <w:bottom w:val="single" w:color="auto" w:sz="4" w:space="0"/>
              <w:right w:val="single" w:color="auto" w:sz="4" w:space="0"/>
            </w:tcBorders>
            <w:vAlign w:val="center"/>
          </w:tcPr>
          <w:p w14:paraId="739F97EA">
            <w:pPr>
              <w:spacing w:line="420" w:lineRule="exact"/>
              <w:rPr>
                <w:rFonts w:hAnsi="宋体"/>
                <w:bCs/>
                <w:iCs/>
                <w:color w:val="000000"/>
                <w:kern w:val="0"/>
                <w:sz w:val="24"/>
              </w:rPr>
            </w:pPr>
            <w:r>
              <w:rPr>
                <w:rFonts w:hAnsi="宋体"/>
                <w:bCs/>
                <w:iCs/>
                <w:color w:val="000000"/>
                <w:kern w:val="0"/>
                <w:sz w:val="24"/>
              </w:rPr>
              <w:t>上市公司接待</w:t>
            </w:r>
          </w:p>
          <w:p w14:paraId="63B9B72B">
            <w:pPr>
              <w:spacing w:line="420" w:lineRule="exact"/>
              <w:rPr>
                <w:bCs/>
                <w:iCs/>
                <w:color w:val="000000"/>
                <w:kern w:val="0"/>
                <w:sz w:val="24"/>
              </w:rPr>
            </w:pPr>
            <w:r>
              <w:rPr>
                <w:rFonts w:hAnsi="宋体"/>
                <w:bCs/>
                <w:iCs/>
                <w:color w:val="000000"/>
                <w:kern w:val="0"/>
                <w:sz w:val="24"/>
              </w:rPr>
              <w:t>人员姓名</w:t>
            </w:r>
          </w:p>
        </w:tc>
        <w:tc>
          <w:tcPr>
            <w:tcW w:w="6847" w:type="dxa"/>
            <w:tcBorders>
              <w:top w:val="single" w:color="auto" w:sz="4" w:space="0"/>
              <w:left w:val="single" w:color="auto" w:sz="4" w:space="0"/>
              <w:bottom w:val="single" w:color="auto" w:sz="4" w:space="0"/>
              <w:right w:val="single" w:color="auto" w:sz="4" w:space="0"/>
            </w:tcBorders>
            <w:vAlign w:val="center"/>
          </w:tcPr>
          <w:p w14:paraId="590D1056">
            <w:pPr>
              <w:numPr>
                <w:ilvl w:val="0"/>
                <w:numId w:val="1"/>
              </w:numPr>
              <w:spacing w:line="420" w:lineRule="exact"/>
              <w:rPr>
                <w:rFonts w:hint="eastAsia" w:ascii="宋体" w:hAnsi="宋体"/>
                <w:bCs/>
                <w:sz w:val="24"/>
              </w:rPr>
            </w:pPr>
            <w:r>
              <w:rPr>
                <w:rFonts w:hint="eastAsia" w:ascii="宋体" w:hAnsi="宋体"/>
                <w:bCs/>
                <w:sz w:val="24"/>
              </w:rPr>
              <w:t>董事、总经理：徐玉翠</w:t>
            </w:r>
          </w:p>
          <w:p w14:paraId="3C8339DA">
            <w:pPr>
              <w:numPr>
                <w:ilvl w:val="0"/>
                <w:numId w:val="1"/>
              </w:numPr>
              <w:spacing w:line="420" w:lineRule="exact"/>
              <w:ind w:left="0" w:leftChars="0" w:firstLine="0" w:firstLineChars="0"/>
              <w:rPr>
                <w:rFonts w:hint="eastAsia" w:ascii="宋体" w:hAnsi="宋体"/>
                <w:bCs/>
                <w:sz w:val="24"/>
              </w:rPr>
            </w:pPr>
            <w:r>
              <w:rPr>
                <w:rFonts w:hint="eastAsia" w:ascii="宋体" w:hAnsi="宋体"/>
                <w:bCs/>
                <w:sz w:val="24"/>
              </w:rPr>
              <w:t>副总经理、财务负责人、总会计师：韩冰</w:t>
            </w:r>
          </w:p>
          <w:p w14:paraId="601B6A37">
            <w:pPr>
              <w:numPr>
                <w:ilvl w:val="0"/>
                <w:numId w:val="1"/>
              </w:numPr>
              <w:spacing w:line="420" w:lineRule="exact"/>
              <w:ind w:left="0" w:leftChars="0" w:firstLine="0" w:firstLineChars="0"/>
              <w:rPr>
                <w:rFonts w:hint="eastAsia" w:ascii="宋体" w:hAnsi="宋体"/>
                <w:bCs/>
                <w:sz w:val="24"/>
              </w:rPr>
            </w:pPr>
            <w:r>
              <w:rPr>
                <w:rFonts w:hint="eastAsia" w:ascii="宋体" w:hAnsi="宋体"/>
                <w:bCs/>
                <w:sz w:val="24"/>
              </w:rPr>
              <w:t>董事会秘书：刘洪胜</w:t>
            </w:r>
          </w:p>
          <w:p w14:paraId="1695604D">
            <w:pPr>
              <w:numPr>
                <w:ilvl w:val="0"/>
                <w:numId w:val="1"/>
              </w:numPr>
              <w:spacing w:line="420" w:lineRule="exact"/>
              <w:ind w:left="0" w:leftChars="0" w:firstLine="0" w:firstLineChars="0"/>
              <w:rPr>
                <w:rFonts w:hint="eastAsia" w:ascii="宋体" w:hAnsi="宋体"/>
                <w:bCs/>
                <w:sz w:val="24"/>
              </w:rPr>
            </w:pPr>
            <w:r>
              <w:rPr>
                <w:rFonts w:hint="eastAsia" w:ascii="宋体" w:hAnsi="宋体"/>
                <w:bCs/>
                <w:sz w:val="24"/>
              </w:rPr>
              <w:t>独立董事：鲍在山</w:t>
            </w:r>
          </w:p>
          <w:p w14:paraId="19406AEE">
            <w:pPr>
              <w:numPr>
                <w:ilvl w:val="0"/>
                <w:numId w:val="0"/>
              </w:numPr>
              <w:spacing w:line="420" w:lineRule="exact"/>
              <w:ind w:leftChars="0"/>
              <w:rPr>
                <w:rFonts w:ascii="宋体" w:hAnsi="宋体"/>
                <w:bCs/>
                <w:sz w:val="24"/>
              </w:rPr>
            </w:pPr>
            <w:r>
              <w:rPr>
                <w:rFonts w:hint="eastAsia" w:ascii="宋体" w:hAnsi="宋体"/>
                <w:bCs/>
                <w:sz w:val="24"/>
                <w:lang w:val="en-US" w:eastAsia="zh-CN"/>
              </w:rPr>
              <w:t>5</w:t>
            </w:r>
            <w:r>
              <w:rPr>
                <w:rFonts w:hint="eastAsia" w:ascii="宋体" w:hAnsi="宋体"/>
                <w:bCs/>
                <w:sz w:val="24"/>
              </w:rPr>
              <w:t>、证券事务代表：季修宪</w:t>
            </w:r>
          </w:p>
        </w:tc>
      </w:tr>
      <w:tr w14:paraId="60DCB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5" w:hRule="atLeast"/>
        </w:trPr>
        <w:tc>
          <w:tcPr>
            <w:tcW w:w="1908" w:type="dxa"/>
            <w:tcBorders>
              <w:top w:val="single" w:color="auto" w:sz="4" w:space="0"/>
              <w:left w:val="single" w:color="auto" w:sz="4" w:space="0"/>
              <w:bottom w:val="single" w:color="auto" w:sz="4" w:space="0"/>
              <w:right w:val="single" w:color="auto" w:sz="4" w:space="0"/>
            </w:tcBorders>
            <w:vAlign w:val="center"/>
          </w:tcPr>
          <w:p w14:paraId="4C7A5950">
            <w:pPr>
              <w:spacing w:line="420" w:lineRule="exact"/>
              <w:rPr>
                <w:bCs/>
                <w:iCs/>
                <w:color w:val="000000"/>
                <w:sz w:val="24"/>
              </w:rPr>
            </w:pPr>
            <w:r>
              <w:rPr>
                <w:rFonts w:hAnsi="宋体"/>
                <w:bCs/>
                <w:iCs/>
                <w:color w:val="000000"/>
                <w:kern w:val="0"/>
                <w:sz w:val="24"/>
              </w:rPr>
              <w:t>投资者关系活动主要内容介绍</w:t>
            </w:r>
          </w:p>
        </w:tc>
        <w:tc>
          <w:tcPr>
            <w:tcW w:w="6847" w:type="dxa"/>
            <w:tcBorders>
              <w:top w:val="single" w:color="auto" w:sz="4" w:space="0"/>
              <w:left w:val="single" w:color="auto" w:sz="4" w:space="0"/>
              <w:bottom w:val="single" w:color="auto" w:sz="4" w:space="0"/>
              <w:right w:val="single" w:color="auto" w:sz="4" w:space="0"/>
            </w:tcBorders>
          </w:tcPr>
          <w:p w14:paraId="2A719859">
            <w:pPr>
              <w:spacing w:before="156" w:beforeLines="50" w:line="460" w:lineRule="exact"/>
              <w:ind w:firstLine="482" w:firstLineChars="200"/>
              <w:rPr>
                <w:rFonts w:ascii="宋体" w:hAnsi="宋体"/>
                <w:b/>
                <w:sz w:val="24"/>
              </w:rPr>
            </w:pPr>
            <w:r>
              <w:rPr>
                <w:rFonts w:ascii="宋体" w:hAnsi="宋体"/>
                <w:b/>
                <w:sz w:val="24"/>
              </w:rPr>
              <w:t>投资者提出的问题及公司回复情况</w:t>
            </w:r>
          </w:p>
          <w:p w14:paraId="74390DF6">
            <w:pPr>
              <w:spacing w:line="460" w:lineRule="exact"/>
              <w:ind w:firstLine="480" w:firstLineChars="200"/>
              <w:rPr>
                <w:rFonts w:ascii="宋体" w:hAnsi="宋体"/>
                <w:sz w:val="24"/>
              </w:rPr>
            </w:pPr>
            <w:r>
              <w:rPr>
                <w:rFonts w:ascii="宋体" w:hAnsi="宋体" w:cs="宋体"/>
                <w:sz w:val="24"/>
              </w:rPr>
              <w:t>公司就投资者在本次</w:t>
            </w:r>
            <w:r>
              <w:rPr>
                <w:rFonts w:hint="eastAsia" w:ascii="宋体" w:hAnsi="宋体" w:cs="宋体"/>
                <w:sz w:val="24"/>
              </w:rPr>
              <w:t>活动</w:t>
            </w:r>
            <w:r>
              <w:rPr>
                <w:rFonts w:ascii="宋体" w:hAnsi="宋体" w:cs="宋体"/>
                <w:sz w:val="24"/>
              </w:rPr>
              <w:t>中提出的问题进行了回复：</w:t>
            </w:r>
          </w:p>
          <w:p w14:paraId="7EBDE097">
            <w:pPr>
              <w:pStyle w:val="8"/>
              <w:spacing w:line="460" w:lineRule="exact"/>
              <w:rPr>
                <w:rFonts w:hint="eastAsia" w:ascii="宋体" w:hAnsi="宋体" w:eastAsia="宋体"/>
                <w:b/>
                <w:sz w:val="24"/>
                <w:szCs w:val="24"/>
                <w:lang w:eastAsia="zh-CN"/>
              </w:rPr>
            </w:pPr>
            <w:r>
              <w:rPr>
                <w:rFonts w:hint="eastAsia" w:ascii="宋体" w:hAnsi="宋体"/>
                <w:b/>
                <w:sz w:val="24"/>
                <w:szCs w:val="24"/>
                <w:lang w:val="en-US" w:eastAsia="zh-CN"/>
              </w:rPr>
              <w:t>1</w:t>
            </w:r>
            <w:r>
              <w:rPr>
                <w:rFonts w:hint="default" w:ascii="宋体" w:hAnsi="宋体"/>
                <w:b/>
                <w:sz w:val="24"/>
                <w:szCs w:val="24"/>
                <w:lang w:val="en-US"/>
              </w:rPr>
              <w:t>、印尼年产50万台冰箱（柜）智能制造工厂一期目前建设进度如何，预计何时投产，投产后主要面向东南亚市场还是辐射全球；H1财务费用同比大幅增长，公司是否有具体的债务结构优化或融资成本压降措施，预计何时能够改善</w:t>
            </w:r>
            <w:r>
              <w:rPr>
                <w:rFonts w:hint="eastAsia" w:ascii="宋体" w:hAnsi="宋体"/>
                <w:b/>
                <w:sz w:val="24"/>
                <w:szCs w:val="24"/>
                <w:lang w:val="en-US" w:eastAsia="zh-CN"/>
              </w:rPr>
              <w:t>？</w:t>
            </w:r>
          </w:p>
          <w:p w14:paraId="5A7D353E">
            <w:pPr>
              <w:pStyle w:val="8"/>
              <w:spacing w:line="460" w:lineRule="exact"/>
              <w:rPr>
                <w:rFonts w:hint="default" w:ascii="宋体" w:hAnsi="宋体"/>
                <w:sz w:val="24"/>
                <w:szCs w:val="24"/>
                <w:lang w:val="en-US"/>
              </w:rPr>
            </w:pPr>
            <w:r>
              <w:rPr>
                <w:rFonts w:hint="default" w:ascii="宋体" w:hAnsi="宋体"/>
                <w:b/>
                <w:bCs/>
                <w:sz w:val="24"/>
                <w:szCs w:val="24"/>
                <w:lang w:val="en-US"/>
              </w:rPr>
              <w:t>答:</w:t>
            </w:r>
            <w:r>
              <w:rPr>
                <w:rFonts w:hint="default" w:ascii="宋体" w:hAnsi="宋体"/>
                <w:sz w:val="24"/>
                <w:szCs w:val="24"/>
                <w:lang w:val="en-US"/>
              </w:rPr>
              <w:t>您好，公司印尼新建年产50万台冰箱（柜）智能制造工厂项目目前正按计划有序推进，该项目除满足当地市场需求外，并可根据实际情况辐射东南亚市场等；公司上半年财务费用同比增长主要系汇率波动影响，导致公司汇兑损失增加，后续，公司将根据生产经营情况持续优化资产负债结构。感谢您对公司的关注！</w:t>
            </w:r>
          </w:p>
          <w:p w14:paraId="2497B7E9">
            <w:pPr>
              <w:pStyle w:val="8"/>
              <w:spacing w:line="460" w:lineRule="exact"/>
              <w:rPr>
                <w:rFonts w:ascii="Calibri" w:hAnsi="Calibri"/>
                <w:szCs w:val="22"/>
              </w:rPr>
            </w:pPr>
            <w:r>
              <w:rPr>
                <w:rFonts w:hint="eastAsia" w:ascii="宋体" w:hAnsi="宋体" w:eastAsia="宋体" w:cs="Times New Roman"/>
                <w:b/>
                <w:kern w:val="2"/>
                <w:sz w:val="24"/>
                <w:szCs w:val="24"/>
                <w:lang w:val="en-US" w:eastAsia="zh-CN" w:bidi="ar-SA"/>
              </w:rPr>
              <w:t>2</w:t>
            </w:r>
            <w:r>
              <w:rPr>
                <w:rFonts w:hint="default" w:ascii="宋体" w:hAnsi="宋体" w:eastAsia="宋体" w:cs="Times New Roman"/>
                <w:b/>
                <w:kern w:val="2"/>
                <w:sz w:val="24"/>
                <w:szCs w:val="24"/>
                <w:lang w:val="en-US" w:eastAsia="zh-CN" w:bidi="ar-SA"/>
              </w:rPr>
              <w:t>、今年5月份以来，集团董事长、副董事长、董秘陆续都下沉到澳柯玛股份去兼任，这种安排是否可以理解为集团今后一段时间内把全部资源倾斜到澳柯玛上市公司，支持上市公司做大做强？</w:t>
            </w:r>
          </w:p>
          <w:p w14:paraId="453297BF">
            <w:pPr>
              <w:pStyle w:val="8"/>
              <w:spacing w:line="460" w:lineRule="exact"/>
              <w:rPr>
                <w:rFonts w:hint="default" w:ascii="宋体" w:hAnsi="宋体"/>
                <w:sz w:val="24"/>
                <w:szCs w:val="24"/>
                <w:lang w:val="en-US"/>
              </w:rPr>
            </w:pPr>
            <w:r>
              <w:rPr>
                <w:rFonts w:hint="default" w:ascii="宋体" w:hAnsi="宋体"/>
                <w:b/>
                <w:bCs/>
                <w:sz w:val="24"/>
                <w:szCs w:val="24"/>
                <w:lang w:val="en-US"/>
              </w:rPr>
              <w:t>答:</w:t>
            </w:r>
            <w:r>
              <w:rPr>
                <w:rFonts w:hint="default" w:ascii="宋体" w:hAnsi="宋体"/>
                <w:sz w:val="24"/>
                <w:szCs w:val="24"/>
                <w:lang w:val="en-US"/>
              </w:rPr>
              <w:t>您好，公司控股股东青岛澳柯玛控股集团有限公司将一如既往积极履行股东权利与责任，继续支持上市公司做大做强，感谢您对公司的关注。</w:t>
            </w:r>
          </w:p>
          <w:p w14:paraId="1FC58484">
            <w:pPr>
              <w:pStyle w:val="8"/>
              <w:spacing w:line="460" w:lineRule="exact"/>
              <w:rPr>
                <w:rFonts w:ascii="Calibri" w:hAnsi="Calibri"/>
                <w:szCs w:val="22"/>
              </w:rPr>
            </w:pPr>
            <w:r>
              <w:rPr>
                <w:rFonts w:hint="eastAsia" w:ascii="宋体" w:hAnsi="宋体" w:eastAsia="宋体" w:cs="Times New Roman"/>
                <w:b/>
                <w:kern w:val="2"/>
                <w:sz w:val="24"/>
                <w:szCs w:val="24"/>
                <w:lang w:val="en-US" w:eastAsia="zh-CN" w:bidi="ar-SA"/>
              </w:rPr>
              <w:t>3</w:t>
            </w:r>
            <w:r>
              <w:rPr>
                <w:rFonts w:hint="default" w:ascii="宋体" w:hAnsi="宋体" w:eastAsia="宋体" w:cs="Times New Roman"/>
                <w:b/>
                <w:kern w:val="2"/>
                <w:sz w:val="24"/>
                <w:szCs w:val="24"/>
                <w:lang w:val="en-US" w:eastAsia="zh-CN" w:bidi="ar-SA"/>
              </w:rPr>
              <w:t>、芯恩作为青岛集成电路的链主企业，近千亿总资产和百亿营收，目前同是国资背景、成立年份相当的晶</w:t>
            </w:r>
            <w:r>
              <w:rPr>
                <w:rFonts w:hint="eastAsia" w:ascii="宋体" w:hAnsi="宋体" w:cs="Times New Roman"/>
                <w:b/>
                <w:kern w:val="2"/>
                <w:sz w:val="24"/>
                <w:szCs w:val="24"/>
                <w:lang w:val="en-US" w:eastAsia="zh-CN" w:bidi="ar-SA"/>
              </w:rPr>
              <w:t>圆</w:t>
            </w:r>
            <w:r>
              <w:rPr>
                <w:rFonts w:hint="default" w:ascii="宋体" w:hAnsi="宋体" w:eastAsia="宋体" w:cs="Times New Roman"/>
                <w:b/>
                <w:kern w:val="2"/>
                <w:sz w:val="24"/>
                <w:szCs w:val="24"/>
                <w:lang w:val="en-US" w:eastAsia="zh-CN" w:bidi="ar-SA"/>
              </w:rPr>
              <w:t>厂粤芯半导体</w:t>
            </w:r>
            <w:r>
              <w:rPr>
                <w:rFonts w:hint="eastAsia" w:ascii="宋体" w:hAnsi="宋体" w:cs="Times New Roman"/>
                <w:b/>
                <w:kern w:val="2"/>
                <w:sz w:val="24"/>
                <w:szCs w:val="24"/>
                <w:lang w:val="en-US" w:eastAsia="zh-CN" w:bidi="ar-SA"/>
              </w:rPr>
              <w:t>已</w:t>
            </w:r>
            <w:r>
              <w:rPr>
                <w:rFonts w:hint="default" w:ascii="宋体" w:hAnsi="宋体" w:eastAsia="宋体" w:cs="Times New Roman"/>
                <w:b/>
                <w:kern w:val="2"/>
                <w:sz w:val="24"/>
                <w:szCs w:val="24"/>
                <w:lang w:val="en-US" w:eastAsia="zh-CN" w:bidi="ar-SA"/>
              </w:rPr>
              <w:t>经过会、本周申购，节后上市交易。芯恩成立时间比粤芯慢不到半年，且在张汝京团队和青岛国资的大力支持下，可目前我们看到连去年底才刚开始增资扩股，股改都没有完成，按照这个进度，最快上市时间在2028年后。以集成电路重资产、人才的行业特点，这样的推进速度是不是会导致芯恩人才流失、并且错过利用资本</w:t>
            </w:r>
            <w:r>
              <w:rPr>
                <w:rFonts w:hint="eastAsia" w:ascii="宋体" w:hAnsi="宋体" w:cs="Times New Roman"/>
                <w:b/>
                <w:kern w:val="2"/>
                <w:sz w:val="24"/>
                <w:szCs w:val="24"/>
                <w:lang w:val="en-US" w:eastAsia="zh-CN" w:bidi="ar-SA"/>
              </w:rPr>
              <w:t>市场</w:t>
            </w:r>
            <w:r>
              <w:rPr>
                <w:rFonts w:hint="default" w:ascii="宋体" w:hAnsi="宋体" w:eastAsia="宋体" w:cs="Times New Roman"/>
                <w:b/>
                <w:kern w:val="2"/>
                <w:sz w:val="24"/>
                <w:szCs w:val="24"/>
                <w:lang w:val="en-US" w:eastAsia="zh-CN" w:bidi="ar-SA"/>
              </w:rPr>
              <w:t>做大做强的机遇？</w:t>
            </w:r>
            <w:bookmarkStart w:id="0" w:name="_GoBack"/>
            <w:bookmarkEnd w:id="0"/>
          </w:p>
          <w:p w14:paraId="6A68AC7C">
            <w:pPr>
              <w:pStyle w:val="8"/>
              <w:spacing w:line="460" w:lineRule="exact"/>
              <w:ind w:left="-2" w:leftChars="-1" w:firstLine="480"/>
              <w:rPr>
                <w:rFonts w:hint="default" w:ascii="宋体" w:hAnsi="宋体"/>
                <w:sz w:val="24"/>
                <w:szCs w:val="24"/>
                <w:lang w:val="en-US"/>
              </w:rPr>
            </w:pPr>
            <w:r>
              <w:rPr>
                <w:rFonts w:hint="default" w:ascii="宋体" w:hAnsi="宋体"/>
                <w:b/>
                <w:bCs/>
                <w:sz w:val="24"/>
                <w:szCs w:val="24"/>
                <w:lang w:val="en-US"/>
              </w:rPr>
              <w:t>答:</w:t>
            </w:r>
            <w:r>
              <w:rPr>
                <w:rFonts w:hint="default" w:ascii="宋体" w:hAnsi="宋体"/>
                <w:sz w:val="24"/>
                <w:szCs w:val="24"/>
                <w:lang w:val="en-US"/>
              </w:rPr>
              <w:t>您好，公司未参与芯恩公司投资，该项目与上市公司无关，感谢您对公司的关注。</w:t>
            </w:r>
          </w:p>
          <w:p w14:paraId="1BC26392">
            <w:pPr>
              <w:pStyle w:val="8"/>
              <w:spacing w:line="460" w:lineRule="exact"/>
              <w:ind w:left="-2" w:leftChars="-1" w:firstLine="480"/>
              <w:rPr>
                <w:rFonts w:ascii="Calibri" w:hAnsi="Calibri"/>
                <w:szCs w:val="22"/>
              </w:rPr>
            </w:pPr>
            <w:r>
              <w:rPr>
                <w:rFonts w:hint="eastAsia" w:ascii="宋体" w:hAnsi="宋体" w:cs="Times New Roman"/>
                <w:b/>
                <w:kern w:val="2"/>
                <w:sz w:val="24"/>
                <w:szCs w:val="24"/>
                <w:lang w:val="en-US" w:eastAsia="zh-CN" w:bidi="ar-SA"/>
              </w:rPr>
              <w:t>4</w:t>
            </w:r>
            <w:r>
              <w:rPr>
                <w:rFonts w:hint="default" w:ascii="宋体" w:hAnsi="宋体" w:eastAsia="宋体" w:cs="Times New Roman"/>
                <w:b/>
                <w:kern w:val="2"/>
                <w:sz w:val="24"/>
                <w:szCs w:val="24"/>
                <w:lang w:val="en-US" w:eastAsia="zh-CN" w:bidi="ar-SA"/>
              </w:rPr>
              <w:t>、芯恩作为青岛集成电路的链主企业，近千亿总资产和百亿营收，在2024年3月股权划转，到24年底集团合并芯恩报表后，芯恩的上市推进工作具体是否由集团层面在推进？（独立IPO或者资产注入方式），可是目前没有看到芯恩上市的进展信息。且集团今年的人事安排上体现出集团资源对上市公司的倾斜，而不是把芯恩作为集团的重心，集团在人力资源分配上是否存在问题</w:t>
            </w:r>
            <w:r>
              <w:rPr>
                <w:rFonts w:hint="eastAsia" w:ascii="宋体" w:hAnsi="宋体" w:cs="Times New Roman"/>
                <w:b/>
                <w:kern w:val="2"/>
                <w:sz w:val="24"/>
                <w:szCs w:val="24"/>
                <w:lang w:val="en-US" w:eastAsia="zh-CN" w:bidi="ar-SA"/>
              </w:rPr>
              <w:t>？</w:t>
            </w:r>
          </w:p>
          <w:p w14:paraId="241994E0">
            <w:pPr>
              <w:pStyle w:val="8"/>
              <w:spacing w:line="460" w:lineRule="exact"/>
              <w:ind w:left="-2" w:leftChars="-1" w:firstLine="480"/>
              <w:rPr>
                <w:rFonts w:hint="default" w:ascii="宋体" w:hAnsi="宋体"/>
                <w:sz w:val="24"/>
                <w:szCs w:val="24"/>
                <w:lang w:val="en-US"/>
              </w:rPr>
            </w:pPr>
            <w:r>
              <w:rPr>
                <w:rFonts w:hint="default" w:ascii="宋体" w:hAnsi="宋体"/>
                <w:b/>
                <w:bCs/>
                <w:sz w:val="24"/>
                <w:szCs w:val="24"/>
                <w:lang w:val="en-US"/>
              </w:rPr>
              <w:t>答:</w:t>
            </w:r>
            <w:r>
              <w:rPr>
                <w:rFonts w:hint="default" w:ascii="宋体" w:hAnsi="宋体"/>
                <w:sz w:val="24"/>
                <w:szCs w:val="24"/>
                <w:lang w:val="en-US"/>
              </w:rPr>
              <w:t>您好，公司未参与芯恩公司投资，该项目与上市公司无关，感谢您对公司的关注。</w:t>
            </w:r>
          </w:p>
          <w:p w14:paraId="5255544B">
            <w:pPr>
              <w:pStyle w:val="8"/>
              <w:spacing w:line="460" w:lineRule="exact"/>
              <w:ind w:left="-2" w:leftChars="-1" w:firstLine="480"/>
              <w:rPr>
                <w:rFonts w:hint="eastAsia" w:ascii="宋体" w:hAnsi="宋体" w:eastAsia="宋体"/>
                <w:b/>
                <w:sz w:val="24"/>
                <w:szCs w:val="24"/>
                <w:lang w:eastAsia="zh-CN"/>
              </w:rPr>
            </w:pPr>
            <w:r>
              <w:rPr>
                <w:rFonts w:hint="default" w:ascii="宋体" w:hAnsi="宋体"/>
                <w:b/>
                <w:sz w:val="24"/>
                <w:szCs w:val="24"/>
                <w:lang w:val="en-US"/>
              </w:rPr>
              <w:t>5、公司新领导怎么提质增效，传统行业面临洗牌，淘汰，对新型高科技行业方向有什么规划</w:t>
            </w:r>
            <w:r>
              <w:rPr>
                <w:rFonts w:hint="eastAsia" w:ascii="宋体" w:hAnsi="宋体"/>
                <w:b/>
                <w:sz w:val="24"/>
                <w:szCs w:val="24"/>
                <w:lang w:val="en-US" w:eastAsia="zh-CN"/>
              </w:rPr>
              <w:t>？</w:t>
            </w:r>
          </w:p>
          <w:p w14:paraId="4E779560">
            <w:pPr>
              <w:pStyle w:val="8"/>
              <w:spacing w:line="460" w:lineRule="exact"/>
              <w:rPr>
                <w:rFonts w:hint="eastAsia" w:ascii="宋体" w:hAnsi="宋体"/>
                <w:b/>
                <w:sz w:val="24"/>
                <w:szCs w:val="24"/>
                <w:lang w:val="en-US" w:eastAsia="zh-CN"/>
              </w:rPr>
            </w:pPr>
            <w:r>
              <w:rPr>
                <w:rFonts w:hint="default" w:ascii="宋体" w:hAnsi="宋体"/>
                <w:b/>
                <w:bCs/>
                <w:sz w:val="24"/>
                <w:szCs w:val="24"/>
                <w:lang w:val="en-US"/>
              </w:rPr>
              <w:t>答:</w:t>
            </w:r>
            <w:r>
              <w:rPr>
                <w:rFonts w:hint="default" w:ascii="宋体" w:hAnsi="宋体"/>
                <w:sz w:val="24"/>
                <w:szCs w:val="24"/>
                <w:lang w:val="en-US"/>
              </w:rPr>
              <w:t>您好，公司将继续本着对全体股东负责的态度，不断推进现有主业产品的场景化、数智化，并围绕核心主业进行新质产品、产业研究，同时，持续优化组织架构、业务结构，进行流程优化，切实提质增效，以提高公司核心竞争力。公司注重关注行业发展动态及外延式发展机会，并严格按照相关规则及要求履行决策程序和信息披露义务，截至目前，不存在应披露未披露事项。感谢您对公司的关注！</w:t>
            </w:r>
          </w:p>
          <w:p w14:paraId="7EF922E9">
            <w:pPr>
              <w:pStyle w:val="8"/>
              <w:spacing w:line="460" w:lineRule="exact"/>
              <w:rPr>
                <w:rFonts w:ascii="宋体" w:hAnsi="宋体"/>
                <w:b/>
                <w:sz w:val="24"/>
                <w:szCs w:val="24"/>
              </w:rPr>
            </w:pPr>
            <w:r>
              <w:rPr>
                <w:rFonts w:hint="eastAsia" w:ascii="宋体" w:hAnsi="宋体"/>
                <w:b/>
                <w:sz w:val="24"/>
                <w:szCs w:val="24"/>
                <w:lang w:val="en-US" w:eastAsia="zh-CN"/>
              </w:rPr>
              <w:t>6</w:t>
            </w:r>
            <w:r>
              <w:rPr>
                <w:rFonts w:hint="default" w:ascii="宋体" w:hAnsi="宋体"/>
                <w:b/>
                <w:sz w:val="24"/>
                <w:szCs w:val="24"/>
                <w:lang w:val="en-US"/>
              </w:rPr>
              <w:t>、现在股东人数是多少？</w:t>
            </w:r>
          </w:p>
          <w:p w14:paraId="409A8EE0">
            <w:pPr>
              <w:pStyle w:val="8"/>
              <w:spacing w:line="460" w:lineRule="exact"/>
              <w:rPr>
                <w:rFonts w:hint="eastAsia" w:ascii="宋体" w:hAnsi="宋体"/>
                <w:b/>
                <w:sz w:val="24"/>
                <w:szCs w:val="24"/>
                <w:lang w:val="en-US" w:eastAsia="zh-CN"/>
              </w:rPr>
            </w:pPr>
            <w:r>
              <w:rPr>
                <w:rFonts w:hint="default" w:ascii="宋体" w:hAnsi="宋体"/>
                <w:b/>
                <w:bCs/>
                <w:sz w:val="24"/>
                <w:szCs w:val="24"/>
                <w:lang w:val="en-US"/>
              </w:rPr>
              <w:t>答:</w:t>
            </w:r>
            <w:r>
              <w:rPr>
                <w:rFonts w:hint="default" w:ascii="宋体" w:hAnsi="宋体"/>
                <w:sz w:val="24"/>
                <w:szCs w:val="24"/>
                <w:lang w:val="en-US"/>
              </w:rPr>
              <w:t>您好，公司严格按照有关法律法规的规定履行信息披露义务，为保证信息披露公平性，公司会在定期报告中披露股东户数，截至2026年6月末公司股东总数为31,673户。感谢您对公司的关注！</w:t>
            </w:r>
          </w:p>
          <w:p w14:paraId="1F77CEF0">
            <w:pPr>
              <w:pStyle w:val="8"/>
              <w:spacing w:line="460" w:lineRule="exact"/>
              <w:rPr>
                <w:rFonts w:ascii="宋体" w:hAnsi="宋体"/>
                <w:b/>
                <w:sz w:val="24"/>
                <w:szCs w:val="24"/>
              </w:rPr>
            </w:pPr>
            <w:r>
              <w:rPr>
                <w:rFonts w:hint="eastAsia" w:ascii="宋体" w:hAnsi="宋体"/>
                <w:b/>
                <w:sz w:val="24"/>
                <w:szCs w:val="24"/>
                <w:lang w:val="en-US" w:eastAsia="zh-CN"/>
              </w:rPr>
              <w:t>7</w:t>
            </w:r>
            <w:r>
              <w:rPr>
                <w:rFonts w:hint="default" w:ascii="宋体" w:hAnsi="宋体"/>
                <w:b/>
                <w:sz w:val="24"/>
                <w:szCs w:val="24"/>
                <w:lang w:val="en-US"/>
              </w:rPr>
              <w:t>、澳柯玛自上市以来，股价长期处于低位，市值只有几十亿，而澳柯玛的品牌评估价却高达500多亿，请问徐总：澳柯玛公司如何落实国资委关于对国有上市公司增值、保值的要求，提升公司的股价？</w:t>
            </w:r>
          </w:p>
          <w:p w14:paraId="46C2E94E">
            <w:pPr>
              <w:pStyle w:val="8"/>
              <w:spacing w:line="460" w:lineRule="exact"/>
              <w:ind w:left="-2" w:leftChars="-1" w:firstLine="480"/>
              <w:rPr>
                <w:rFonts w:hint="eastAsia" w:ascii="宋体" w:hAnsi="宋体"/>
                <w:b/>
                <w:sz w:val="24"/>
                <w:szCs w:val="24"/>
                <w:lang w:val="en-US" w:eastAsia="zh-CN"/>
              </w:rPr>
            </w:pPr>
            <w:r>
              <w:rPr>
                <w:rFonts w:hint="default" w:ascii="宋体" w:hAnsi="宋体"/>
                <w:b/>
                <w:bCs/>
                <w:sz w:val="24"/>
                <w:szCs w:val="24"/>
                <w:lang w:val="en-US"/>
              </w:rPr>
              <w:t>答:</w:t>
            </w:r>
            <w:r>
              <w:rPr>
                <w:rFonts w:hint="default" w:ascii="宋体" w:hAnsi="宋体"/>
                <w:sz w:val="24"/>
                <w:szCs w:val="24"/>
                <w:lang w:val="en-US"/>
              </w:rPr>
              <w:t>您好，品牌价值与市值属于不同的估值体系，公司重视市值管理工作，并将继续从不断提高公司经营质量、维持健康稳定的现金分红政策、提升信息披露和投关工作质量等多方面工作着手，以期能给投资者带来较好回报。感谢您对公司的关注！</w:t>
            </w:r>
          </w:p>
          <w:p w14:paraId="72B2388E">
            <w:pPr>
              <w:pStyle w:val="8"/>
              <w:spacing w:line="460" w:lineRule="exact"/>
              <w:rPr>
                <w:rFonts w:hint="default" w:ascii="宋体" w:hAnsi="宋体"/>
                <w:b/>
                <w:sz w:val="24"/>
                <w:szCs w:val="24"/>
                <w:lang w:val="en-US"/>
              </w:rPr>
            </w:pPr>
            <w:r>
              <w:rPr>
                <w:rFonts w:hint="eastAsia" w:ascii="宋体" w:hAnsi="宋体"/>
                <w:b/>
                <w:sz w:val="24"/>
                <w:szCs w:val="24"/>
                <w:lang w:val="en-US" w:eastAsia="zh-CN"/>
              </w:rPr>
              <w:t>8</w:t>
            </w:r>
            <w:r>
              <w:rPr>
                <w:rFonts w:hint="default" w:ascii="宋体" w:hAnsi="宋体"/>
                <w:b/>
                <w:sz w:val="24"/>
                <w:szCs w:val="24"/>
                <w:lang w:val="en-US"/>
              </w:rPr>
              <w:t>、公司营收和盈利已连续多年下滑，请问新的管理层将采用何种举措来提升业绩，别尽说空话，请说明具体可行的措施。</w:t>
            </w:r>
          </w:p>
          <w:p w14:paraId="30342597">
            <w:pPr>
              <w:pStyle w:val="8"/>
              <w:spacing w:line="460" w:lineRule="exact"/>
              <w:rPr>
                <w:rFonts w:hint="eastAsia" w:ascii="宋体" w:hAnsi="宋体"/>
                <w:b/>
                <w:sz w:val="24"/>
                <w:szCs w:val="24"/>
                <w:lang w:val="en-US" w:eastAsia="zh-CN"/>
              </w:rPr>
            </w:pPr>
            <w:r>
              <w:rPr>
                <w:rFonts w:hint="default" w:ascii="宋体" w:hAnsi="宋体"/>
                <w:b/>
                <w:bCs/>
                <w:sz w:val="24"/>
                <w:szCs w:val="24"/>
                <w:lang w:val="en-US"/>
              </w:rPr>
              <w:t>答:</w:t>
            </w:r>
            <w:r>
              <w:rPr>
                <w:rFonts w:hint="default" w:ascii="宋体" w:hAnsi="宋体"/>
                <w:sz w:val="24"/>
                <w:szCs w:val="24"/>
                <w:lang w:val="en-US"/>
              </w:rPr>
              <w:t>您好，类似问题刚已回答过，公司将继续推进现有主业产品的场景化、数智化，并围绕核心主业进行新质产品、产业研究，同时，持续优化组织架构、业务结构，进行流程优化，切实提质增效，以提高公司核心竞争力。公司注重关注行业发展动态及外延式发展机会，并严格按照相关规则及要求履行决策程序和信息披露义务，截至目前，不存在应披露未披露事项。感谢您对公司的关注！</w:t>
            </w:r>
          </w:p>
          <w:p w14:paraId="2C7E212A">
            <w:pPr>
              <w:pStyle w:val="8"/>
              <w:spacing w:line="460" w:lineRule="exact"/>
              <w:ind w:left="413" w:firstLine="0" w:firstLineChars="0"/>
              <w:rPr>
                <w:rFonts w:hint="eastAsia" w:ascii="宋体" w:hAnsi="宋体" w:eastAsia="宋体"/>
                <w:b/>
                <w:sz w:val="24"/>
                <w:szCs w:val="24"/>
                <w:lang w:val="en-US" w:eastAsia="zh-CN"/>
              </w:rPr>
            </w:pPr>
            <w:r>
              <w:rPr>
                <w:rFonts w:hint="eastAsia" w:ascii="宋体" w:hAnsi="宋体"/>
                <w:b/>
                <w:sz w:val="24"/>
                <w:szCs w:val="24"/>
                <w:lang w:val="en-US" w:eastAsia="zh-CN"/>
              </w:rPr>
              <w:t>9</w:t>
            </w:r>
            <w:r>
              <w:rPr>
                <w:rFonts w:hint="default" w:ascii="宋体" w:hAnsi="宋体"/>
                <w:b/>
                <w:sz w:val="24"/>
                <w:szCs w:val="24"/>
                <w:lang w:val="en-US"/>
              </w:rPr>
              <w:t>、和其他家电企业对比，危机在哪里，怎么竞争</w:t>
            </w:r>
            <w:r>
              <w:rPr>
                <w:rFonts w:hint="eastAsia" w:ascii="宋体" w:hAnsi="宋体"/>
                <w:b/>
                <w:sz w:val="24"/>
                <w:szCs w:val="24"/>
                <w:lang w:val="en-US" w:eastAsia="zh-CN"/>
              </w:rPr>
              <w:t>？</w:t>
            </w:r>
          </w:p>
          <w:p w14:paraId="745B7C40">
            <w:pPr>
              <w:pStyle w:val="8"/>
              <w:spacing w:line="460" w:lineRule="exact"/>
              <w:ind w:left="-2" w:leftChars="-1" w:firstLine="480"/>
              <w:rPr>
                <w:rFonts w:ascii="宋体" w:hAnsi="宋体"/>
                <w:bCs/>
                <w:iCs/>
                <w:color w:val="000000"/>
                <w:sz w:val="24"/>
              </w:rPr>
            </w:pPr>
            <w:r>
              <w:rPr>
                <w:rFonts w:hint="default" w:ascii="宋体" w:hAnsi="宋体"/>
                <w:b/>
                <w:bCs/>
                <w:sz w:val="24"/>
                <w:szCs w:val="24"/>
                <w:lang w:val="en-US"/>
              </w:rPr>
              <w:t>答:</w:t>
            </w:r>
            <w:r>
              <w:rPr>
                <w:rFonts w:hint="default" w:ascii="宋体" w:hAnsi="宋体"/>
                <w:sz w:val="24"/>
                <w:szCs w:val="24"/>
                <w:lang w:val="en-US"/>
              </w:rPr>
              <w:t>您好，目前家电行业国内市场需求不旺，上游主要原材料价格大幅快速上涨，终端价格竞争激烈，受多重不利因素共同影响，国内产业大盘增长乏力。后续，公司将根据前述回复持续做好内功的同时，不断加快“走出去”，持续推进本地化营销、全球大客户拓展以及自有品牌出海，以期提高公司海外产品销售规模。感谢您对公司的关注！</w:t>
            </w:r>
          </w:p>
        </w:tc>
      </w:tr>
      <w:tr w14:paraId="484A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37117D52">
            <w:pPr>
              <w:spacing w:line="420" w:lineRule="exact"/>
              <w:rPr>
                <w:bCs/>
                <w:iCs/>
                <w:color w:val="000000"/>
                <w:kern w:val="0"/>
                <w:sz w:val="24"/>
              </w:rPr>
            </w:pPr>
            <w:r>
              <w:rPr>
                <w:rFonts w:hAnsi="宋体"/>
                <w:bCs/>
                <w:iCs/>
                <w:color w:val="000000"/>
                <w:kern w:val="0"/>
                <w:sz w:val="24"/>
              </w:rPr>
              <w:t>附件清单（如有）</w:t>
            </w:r>
          </w:p>
        </w:tc>
        <w:tc>
          <w:tcPr>
            <w:tcW w:w="6847" w:type="dxa"/>
            <w:tcBorders>
              <w:top w:val="single" w:color="auto" w:sz="4" w:space="0"/>
              <w:left w:val="single" w:color="auto" w:sz="4" w:space="0"/>
              <w:bottom w:val="single" w:color="auto" w:sz="4" w:space="0"/>
              <w:right w:val="single" w:color="auto" w:sz="4" w:space="0"/>
            </w:tcBorders>
          </w:tcPr>
          <w:p w14:paraId="1AC7595D">
            <w:pPr>
              <w:spacing w:line="420" w:lineRule="exact"/>
              <w:rPr>
                <w:bCs/>
                <w:iCs/>
                <w:color w:val="000000"/>
                <w:sz w:val="24"/>
              </w:rPr>
            </w:pPr>
          </w:p>
        </w:tc>
      </w:tr>
      <w:tr w14:paraId="1CB2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1DCF910F">
            <w:pPr>
              <w:spacing w:line="420" w:lineRule="exact"/>
              <w:rPr>
                <w:bCs/>
                <w:iCs/>
                <w:color w:val="000000"/>
                <w:kern w:val="0"/>
                <w:sz w:val="24"/>
              </w:rPr>
            </w:pPr>
            <w:r>
              <w:rPr>
                <w:rFonts w:hAnsi="宋体"/>
                <w:bCs/>
                <w:iCs/>
                <w:color w:val="000000"/>
                <w:kern w:val="0"/>
                <w:sz w:val="24"/>
              </w:rPr>
              <w:t>日期</w:t>
            </w:r>
          </w:p>
        </w:tc>
        <w:tc>
          <w:tcPr>
            <w:tcW w:w="6847" w:type="dxa"/>
            <w:tcBorders>
              <w:top w:val="single" w:color="auto" w:sz="4" w:space="0"/>
              <w:left w:val="single" w:color="auto" w:sz="4" w:space="0"/>
              <w:bottom w:val="single" w:color="auto" w:sz="4" w:space="0"/>
              <w:right w:val="single" w:color="auto" w:sz="4" w:space="0"/>
            </w:tcBorders>
          </w:tcPr>
          <w:p w14:paraId="39341BD8">
            <w:pPr>
              <w:spacing w:line="420" w:lineRule="exact"/>
              <w:rPr>
                <w:rFonts w:hint="default"/>
                <w:bCs/>
                <w:iCs/>
                <w:color w:val="000000"/>
                <w:sz w:val="24"/>
                <w:lang w:val="en-US"/>
              </w:rPr>
            </w:pPr>
            <w:r>
              <w:rPr>
                <w:rFonts w:hint="eastAsia" w:ascii="宋体" w:hAnsi="宋体" w:eastAsia="宋体" w:cs="宋体"/>
                <w:bCs/>
                <w:iCs/>
                <w:color w:val="000000"/>
                <w:sz w:val="24"/>
              </w:rPr>
              <w:t>2026-0</w:t>
            </w:r>
            <w:r>
              <w:rPr>
                <w:rFonts w:hint="eastAsia" w:ascii="宋体" w:hAnsi="宋体" w:eastAsia="宋体" w:cs="宋体"/>
                <w:bCs/>
                <w:iCs/>
                <w:color w:val="000000"/>
                <w:sz w:val="24"/>
                <w:lang w:val="en-US" w:eastAsia="zh-CN"/>
              </w:rPr>
              <w:t>9-21</w:t>
            </w:r>
          </w:p>
        </w:tc>
      </w:tr>
    </w:tbl>
    <w:p w14:paraId="55B8D24D"/>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9CA2C">
    <w:pPr>
      <w:pStyle w:val="2"/>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99D57">
    <w:pPr>
      <w:pStyle w:val="3"/>
      <w:pBdr>
        <w:bottom w:val="none" w:color="auto" w:sz="0" w:space="0"/>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981BEA"/>
    <w:multiLevelType w:val="singleLevel"/>
    <w:tmpl w:val="F6981BE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BE6"/>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52D5"/>
    <w:rsid w:val="008062C5"/>
    <w:rsid w:val="0080741A"/>
    <w:rsid w:val="00814B5B"/>
    <w:rsid w:val="00836F34"/>
    <w:rsid w:val="00843E73"/>
    <w:rsid w:val="00844EBF"/>
    <w:rsid w:val="00854F61"/>
    <w:rsid w:val="00864202"/>
    <w:rsid w:val="00873332"/>
    <w:rsid w:val="00873B59"/>
    <w:rsid w:val="0087701F"/>
    <w:rsid w:val="0089283D"/>
    <w:rsid w:val="008A0ADC"/>
    <w:rsid w:val="008A1BAB"/>
    <w:rsid w:val="008B38B7"/>
    <w:rsid w:val="008B458E"/>
    <w:rsid w:val="008C4D4A"/>
    <w:rsid w:val="008D7FF7"/>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05FB6D97"/>
    <w:rsid w:val="06CB676A"/>
    <w:rsid w:val="186736F8"/>
    <w:rsid w:val="1B2418A5"/>
    <w:rsid w:val="1FBFC074"/>
    <w:rsid w:val="205467D6"/>
    <w:rsid w:val="2217065D"/>
    <w:rsid w:val="27AB3D22"/>
    <w:rsid w:val="2A461AE0"/>
    <w:rsid w:val="2B7B3A8A"/>
    <w:rsid w:val="339E0BDF"/>
    <w:rsid w:val="355E3164"/>
    <w:rsid w:val="36B7289F"/>
    <w:rsid w:val="36FB9E1F"/>
    <w:rsid w:val="3BFA3B96"/>
    <w:rsid w:val="3CEF3472"/>
    <w:rsid w:val="3EFF16E9"/>
    <w:rsid w:val="42EE1A4B"/>
    <w:rsid w:val="441478FD"/>
    <w:rsid w:val="48E9120C"/>
    <w:rsid w:val="51280962"/>
    <w:rsid w:val="52023FF1"/>
    <w:rsid w:val="539A02A6"/>
    <w:rsid w:val="567D422C"/>
    <w:rsid w:val="578515EA"/>
    <w:rsid w:val="5D4A0B10"/>
    <w:rsid w:val="602A4036"/>
    <w:rsid w:val="680B78E9"/>
    <w:rsid w:val="68BA3557"/>
    <w:rsid w:val="6AEE54F0"/>
    <w:rsid w:val="76C82B99"/>
    <w:rsid w:val="77CF73AC"/>
    <w:rsid w:val="78FF0116"/>
    <w:rsid w:val="B7DDD54D"/>
    <w:rsid w:val="E3FFE6ED"/>
    <w:rsid w:val="F5DB8A63"/>
    <w:rsid w:val="F797912E"/>
    <w:rsid w:val="FE7B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qFormat/>
    <w:uiPriority w:val="0"/>
    <w:pPr>
      <w:tabs>
        <w:tab w:val="center" w:pos="4153"/>
        <w:tab w:val="right" w:pos="8306"/>
      </w:tabs>
      <w:snapToGrid w:val="0"/>
      <w:jc w:val="left"/>
    </w:pPr>
    <w:rPr>
      <w:sz w:val="18"/>
      <w:szCs w:val="18"/>
    </w:rPr>
  </w:style>
  <w:style w:type="paragraph" w:styleId="3">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table" w:styleId="6">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_Style 6"/>
    <w:basedOn w:val="1"/>
    <w:qFormat/>
    <w:uiPriority w:val="34"/>
    <w:pPr>
      <w:ind w:firstLine="420" w:firstLineChars="200"/>
    </w:pPr>
    <w:rPr>
      <w:rFonts w:ascii="Calibri" w:hAnsi="Calibri"/>
      <w:szCs w:val="22"/>
    </w:rPr>
  </w:style>
  <w:style w:type="paragraph" w:customStyle="1" w:styleId="9">
    <w:name w:val="Char Char Char"/>
    <w:basedOn w:val="1"/>
    <w:qFormat/>
    <w:uiPriority w:val="0"/>
    <w:rPr>
      <w:szCs w:val="21"/>
    </w:rPr>
  </w:style>
  <w:style w:type="paragraph" w:customStyle="1" w:styleId="10">
    <w:name w:val="Char Char Char Char Char Char Char Char Char Char Char Char Char Char Char Char"/>
    <w:basedOn w:val="1"/>
    <w:qFormat/>
    <w:uiPriority w:val="0"/>
  </w:style>
  <w:style w:type="paragraph" w:customStyle="1" w:styleId="11">
    <w:name w:val="Char Char Char1"/>
    <w:basedOn w:val="1"/>
    <w:qFormat/>
    <w:uiPriority w:val="0"/>
  </w:style>
  <w:style w:type="character" w:customStyle="1" w:styleId="12">
    <w:name w:val="页脚 字符"/>
    <w:basedOn w:val="7"/>
    <w:link w:val="2"/>
    <w:qFormat/>
    <w:uiPriority w:val="0"/>
    <w:rPr>
      <w:kern w:val="2"/>
      <w:sz w:val="18"/>
      <w:szCs w:val="18"/>
    </w:rPr>
  </w:style>
  <w:style w:type="character" w:customStyle="1" w:styleId="13">
    <w:name w:val="页眉 字符"/>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2027</Words>
  <Characters>2104</Characters>
  <Lines>20</Lines>
  <Paragraphs>5</Paragraphs>
  <TotalTime>14</TotalTime>
  <ScaleCrop>false</ScaleCrop>
  <LinksUpToDate>false</LinksUpToDate>
  <CharactersWithSpaces>2183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2012-09-09T08:59:00Z</dcterms:created>
  <dc:creator>微软用户</dc:creator>
  <cp:lastModifiedBy>王大WRH</cp:lastModifiedBy>
  <cp:lastPrinted>2014-02-21T05:34:00Z</cp:lastPrinted>
  <dcterms:modified xsi:type="dcterms:W3CDTF">2026-09-22T00:35:36Z</dcterms:modified>
  <dc:title>澳柯玛投资者关系活动记录表</dc:title>
  <cp:revision>264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3378DF92D5494EA79182626F58817F75</vt:lpwstr>
  </property>
  <property fmtid="{D5CDD505-2E9C-101B-9397-08002B2CF9AE}" pid="4" name="KSOTemplateDocerSaveRecord">
    <vt:lpwstr>eyJoZGlkIjoiMjFlNDFhODgxOTI4OWYxYTA4NGM2NGNlMTkxNDdmYmMiLCJ1c2VySWQiOiI5OTczOTE5NTIifQ==</vt:lpwstr>
  </property>
</Properties>
</file>