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FF389" w14:textId="77777777" w:rsidR="000A3ABC" w:rsidRDefault="00000000">
      <w:pPr>
        <w:ind w:left="1760" w:hangingChars="800" w:hanging="1760"/>
        <w:rPr>
          <w:rFonts w:ascii="宋体" w:eastAsia="宋体" w:hAnsi="宋体" w:hint="eastAsia"/>
          <w:lang w:eastAsia="zh"/>
        </w:rPr>
        <w:sectPr w:rsidR="000A3ABC">
          <w:pgSz w:w="11906" w:h="16838"/>
          <w:pgMar w:top="1440" w:right="1800" w:bottom="1440" w:left="1800" w:header="851" w:footer="992" w:gutter="0"/>
          <w:cols w:num="2" w:space="425"/>
          <w:docGrid w:type="lines" w:linePitch="312"/>
        </w:sectPr>
      </w:pPr>
      <w:r>
        <w:rPr>
          <w:rFonts w:ascii="宋体" w:eastAsia="宋体" w:hAnsi="宋体"/>
        </w:rPr>
        <w:t>证券代码：</w:t>
      </w:r>
      <w:r>
        <w:rPr>
          <w:rFonts w:ascii="宋体" w:eastAsia="宋体" w:hAnsi="宋体" w:hint="eastAsia"/>
        </w:rPr>
        <w:t xml:space="preserve">600742 </w:t>
      </w:r>
      <w:r>
        <w:rPr>
          <w:rFonts w:ascii="宋体" w:eastAsia="宋体" w:hAnsi="宋体" w:hint="eastAsia"/>
        </w:rPr>
        <w:br w:type="column"/>
      </w:r>
      <w:r>
        <w:rPr>
          <w:rFonts w:ascii="宋体" w:eastAsia="宋体" w:hAnsi="宋体" w:hint="eastAsia"/>
        </w:rPr>
        <w:t>证券</w:t>
      </w:r>
      <w:r>
        <w:rPr>
          <w:rFonts w:ascii="宋体" w:eastAsia="宋体" w:hAnsi="宋体"/>
        </w:rPr>
        <w:t>简称：</w:t>
      </w:r>
      <w:r>
        <w:rPr>
          <w:rFonts w:ascii="宋体" w:eastAsia="宋体" w:hAnsi="宋体" w:hint="eastAsia"/>
        </w:rPr>
        <w:t>富维</w:t>
      </w:r>
      <w:r>
        <w:rPr>
          <w:rFonts w:ascii="宋体" w:eastAsia="宋体" w:hAnsi="宋体" w:hint="eastAsia"/>
          <w:lang w:eastAsia="zh"/>
        </w:rPr>
        <w:t>股份</w:t>
      </w:r>
    </w:p>
    <w:p w14:paraId="4DBE9E6B" w14:textId="77777777" w:rsidR="000A3ABC" w:rsidRDefault="00000000">
      <w:pPr>
        <w:spacing w:line="411" w:lineRule="exact"/>
        <w:jc w:val="center"/>
        <w:rPr>
          <w:rFonts w:ascii="宋体" w:eastAsia="宋体" w:hAnsi="宋体" w:cs="宋体" w:hint="eastAsia"/>
          <w:b/>
          <w:bCs/>
          <w:color w:val="FF0000"/>
          <w:sz w:val="32"/>
          <w:szCs w:val="32"/>
        </w:rPr>
      </w:pPr>
      <w:r>
        <w:rPr>
          <w:rFonts w:ascii="宋体" w:eastAsia="宋体" w:hAnsi="宋体" w:cs="宋体" w:hint="eastAsia"/>
          <w:b/>
          <w:bCs/>
          <w:color w:val="FF0000"/>
          <w:sz w:val="32"/>
          <w:szCs w:val="32"/>
        </w:rPr>
        <w:t>长春富维集团汽车零部件</w:t>
      </w:r>
      <w:r>
        <w:rPr>
          <w:rFonts w:ascii="宋体" w:eastAsia="宋体" w:hAnsi="宋体" w:cs="宋体"/>
          <w:b/>
          <w:bCs/>
          <w:color w:val="FF0000"/>
          <w:sz w:val="32"/>
          <w:szCs w:val="32"/>
        </w:rPr>
        <w:t>股份有限公司</w:t>
      </w:r>
    </w:p>
    <w:p w14:paraId="24D04BEF" w14:textId="77777777" w:rsidR="000A3ABC" w:rsidRDefault="00000000">
      <w:pPr>
        <w:spacing w:line="411" w:lineRule="exact"/>
        <w:jc w:val="center"/>
        <w:rPr>
          <w:rFonts w:ascii="宋体" w:eastAsia="宋体" w:hAnsi="宋体" w:hint="eastAsia"/>
          <w:color w:val="FF0000"/>
          <w:sz w:val="32"/>
          <w:szCs w:val="32"/>
        </w:rPr>
      </w:pPr>
      <w:r>
        <w:rPr>
          <w:rFonts w:ascii="宋体" w:eastAsia="宋体" w:hAnsi="宋体" w:cs="宋体" w:hint="eastAsia"/>
          <w:b/>
          <w:bCs/>
          <w:color w:val="FF0000"/>
          <w:sz w:val="32"/>
          <w:szCs w:val="32"/>
        </w:rPr>
        <w:t>投资者关系活动记录表</w:t>
      </w:r>
    </w:p>
    <w:p w14:paraId="65FDDA3A" w14:textId="77777777" w:rsidR="000A3ABC" w:rsidRDefault="00000000">
      <w:pPr>
        <w:jc w:val="right"/>
        <w:rPr>
          <w:rFonts w:ascii="宋体" w:eastAsia="宋体" w:hAnsi="宋体" w:hint="eastAsia"/>
        </w:rPr>
      </w:pPr>
      <w:r>
        <w:rPr>
          <w:rFonts w:ascii="宋体" w:eastAsia="宋体" w:hAnsi="宋体"/>
        </w:rPr>
        <w:t>编号：202</w:t>
      </w:r>
      <w:r>
        <w:rPr>
          <w:rFonts w:ascii="宋体" w:eastAsia="宋体" w:hAnsi="宋体" w:hint="eastAsia"/>
          <w:lang w:eastAsia="zh"/>
        </w:rPr>
        <w:t>6</w:t>
      </w:r>
      <w:r>
        <w:rPr>
          <w:rFonts w:ascii="宋体" w:eastAsia="宋体" w:hAnsi="宋体"/>
        </w:rPr>
        <w:t>-00</w:t>
      </w:r>
      <w:r>
        <w:rPr>
          <w:rFonts w:ascii="宋体" w:eastAsia="宋体" w:hAnsi="宋体" w:hint="eastAsia"/>
        </w:rPr>
        <w:t>8</w:t>
      </w:r>
    </w:p>
    <w:tbl>
      <w:tblPr>
        <w:tblStyle w:val="ac"/>
        <w:tblW w:w="8500" w:type="dxa"/>
        <w:tblLook w:val="04A0" w:firstRow="1" w:lastRow="0" w:firstColumn="1" w:lastColumn="0" w:noHBand="0" w:noVBand="1"/>
      </w:tblPr>
      <w:tblGrid>
        <w:gridCol w:w="1980"/>
        <w:gridCol w:w="6520"/>
      </w:tblGrid>
      <w:tr w:rsidR="000A3ABC" w14:paraId="42185A07" w14:textId="77777777">
        <w:tc>
          <w:tcPr>
            <w:tcW w:w="1980" w:type="dxa"/>
            <w:vAlign w:val="center"/>
          </w:tcPr>
          <w:p w14:paraId="56A9CB12" w14:textId="77777777" w:rsidR="000A3ABC" w:rsidRDefault="00000000">
            <w:pPr>
              <w:spacing w:after="0" w:line="360" w:lineRule="auto"/>
              <w:jc w:val="center"/>
              <w:rPr>
                <w:rFonts w:ascii="宋体" w:eastAsia="宋体" w:hAnsi="宋体" w:hint="eastAsia"/>
                <w:sz w:val="24"/>
              </w:rPr>
            </w:pPr>
            <w:r>
              <w:rPr>
                <w:rFonts w:ascii="宋体" w:eastAsia="宋体" w:hAnsi="宋体" w:hint="eastAsia"/>
                <w:sz w:val="24"/>
              </w:rPr>
              <w:t>投资者关系活动类别</w:t>
            </w:r>
          </w:p>
        </w:tc>
        <w:tc>
          <w:tcPr>
            <w:tcW w:w="6520" w:type="dxa"/>
          </w:tcPr>
          <w:p w14:paraId="4AE04FE0" w14:textId="77777777" w:rsidR="000A3ABC" w:rsidRDefault="00000000">
            <w:pPr>
              <w:spacing w:after="0" w:line="360" w:lineRule="auto"/>
              <w:ind w:right="1100" w:firstLineChars="15" w:firstLine="36"/>
              <w:rPr>
                <w:rFonts w:ascii="宋体" w:eastAsia="宋体" w:hAnsi="宋体" w:hint="eastAsia"/>
                <w:sz w:val="24"/>
              </w:rPr>
            </w:pPr>
            <w:r>
              <w:rPr>
                <w:rFonts w:ascii="宋体" w:eastAsia="宋体" w:hAnsi="宋体" w:hint="eastAsia"/>
                <w:sz w:val="24"/>
              </w:rPr>
              <w:t>□</w:t>
            </w:r>
            <w:r>
              <w:rPr>
                <w:rFonts w:ascii="宋体" w:eastAsia="宋体" w:hAnsi="宋体"/>
                <w:sz w:val="24"/>
              </w:rPr>
              <w:t xml:space="preserve">特定对象调研          □分析师会议  </w:t>
            </w:r>
          </w:p>
          <w:p w14:paraId="1A651227" w14:textId="77777777" w:rsidR="000A3ABC" w:rsidRDefault="00000000">
            <w:pPr>
              <w:spacing w:after="0" w:line="360" w:lineRule="auto"/>
              <w:ind w:right="1100" w:firstLineChars="15" w:firstLine="36"/>
              <w:rPr>
                <w:rFonts w:ascii="宋体" w:eastAsia="宋体" w:hAnsi="宋体" w:hint="eastAsia"/>
                <w:sz w:val="24"/>
              </w:rPr>
            </w:pPr>
            <w:r>
              <w:rPr>
                <w:rFonts w:ascii="宋体" w:eastAsia="宋体" w:hAnsi="宋体" w:hint="eastAsia"/>
                <w:sz w:val="24"/>
              </w:rPr>
              <w:t xml:space="preserve">□媒体采访              ☑业绩说明会  </w:t>
            </w:r>
          </w:p>
          <w:p w14:paraId="32762A7A" w14:textId="77777777" w:rsidR="000A3ABC" w:rsidRDefault="00000000">
            <w:pPr>
              <w:spacing w:after="0" w:line="360" w:lineRule="auto"/>
              <w:ind w:right="1100" w:firstLineChars="15" w:firstLine="36"/>
              <w:rPr>
                <w:rFonts w:ascii="宋体" w:eastAsia="宋体" w:hAnsi="宋体" w:hint="eastAsia"/>
                <w:sz w:val="24"/>
              </w:rPr>
            </w:pPr>
            <w:r>
              <w:rPr>
                <w:rFonts w:ascii="宋体" w:eastAsia="宋体" w:hAnsi="宋体" w:hint="eastAsia"/>
                <w:sz w:val="24"/>
              </w:rPr>
              <w:t xml:space="preserve">□新闻发布会            □路演活动  </w:t>
            </w:r>
          </w:p>
          <w:p w14:paraId="7A4848A8" w14:textId="77777777" w:rsidR="000A3ABC" w:rsidRDefault="00000000">
            <w:pPr>
              <w:spacing w:after="0" w:line="360" w:lineRule="auto"/>
              <w:ind w:firstLineChars="15" w:firstLine="36"/>
              <w:rPr>
                <w:rFonts w:ascii="宋体" w:eastAsia="宋体" w:hAnsi="宋体" w:hint="eastAsia"/>
                <w:sz w:val="24"/>
              </w:rPr>
            </w:pPr>
            <w:r>
              <w:rPr>
                <w:rFonts w:ascii="宋体" w:eastAsia="宋体" w:hAnsi="宋体" w:cs="宋体" w:hint="eastAsia"/>
                <w:sz w:val="24"/>
              </w:rPr>
              <w:t>□</w:t>
            </w:r>
            <w:r>
              <w:rPr>
                <w:rFonts w:ascii="宋体" w:eastAsia="宋体" w:hAnsi="宋体" w:hint="eastAsia"/>
                <w:sz w:val="24"/>
              </w:rPr>
              <w:t xml:space="preserve">现场参观              </w:t>
            </w:r>
            <w:r>
              <w:rPr>
                <w:rFonts w:ascii="宋体" w:eastAsia="宋体" w:hAnsi="宋体" w:cs="宋体" w:hint="eastAsia"/>
                <w:sz w:val="24"/>
              </w:rPr>
              <w:t>□</w:t>
            </w:r>
            <w:r>
              <w:rPr>
                <w:rFonts w:ascii="宋体" w:eastAsia="宋体" w:hAnsi="宋体" w:hint="eastAsia"/>
                <w:sz w:val="24"/>
              </w:rPr>
              <w:t>其他</w:t>
            </w:r>
          </w:p>
        </w:tc>
      </w:tr>
      <w:tr w:rsidR="000A3ABC" w14:paraId="750C3CA3" w14:textId="77777777">
        <w:tc>
          <w:tcPr>
            <w:tcW w:w="1980" w:type="dxa"/>
            <w:vAlign w:val="center"/>
          </w:tcPr>
          <w:p w14:paraId="3B42A844" w14:textId="77777777" w:rsidR="000A3ABC" w:rsidRDefault="00000000">
            <w:pPr>
              <w:spacing w:after="0" w:line="360" w:lineRule="auto"/>
              <w:jc w:val="center"/>
              <w:rPr>
                <w:rFonts w:ascii="宋体" w:eastAsia="宋体" w:hAnsi="宋体" w:hint="eastAsia"/>
                <w:sz w:val="24"/>
              </w:rPr>
            </w:pPr>
            <w:r>
              <w:rPr>
                <w:rFonts w:ascii="宋体" w:eastAsia="宋体" w:hAnsi="宋体" w:cs="宋体" w:hint="eastAsia"/>
                <w:sz w:val="24"/>
                <w:lang w:bidi="ar"/>
              </w:rPr>
              <w:t>活动主题</w:t>
            </w:r>
          </w:p>
        </w:tc>
        <w:tc>
          <w:tcPr>
            <w:tcW w:w="6520" w:type="dxa"/>
          </w:tcPr>
          <w:p w14:paraId="073E1DDC" w14:textId="77777777" w:rsidR="000A3ABC" w:rsidRDefault="00000000">
            <w:pPr>
              <w:spacing w:after="0" w:line="360" w:lineRule="auto"/>
              <w:jc w:val="both"/>
              <w:rPr>
                <w:rFonts w:ascii="宋体" w:eastAsia="宋体" w:hAnsi="宋体" w:cs="宋体" w:hint="eastAsia"/>
                <w:sz w:val="24"/>
              </w:rPr>
            </w:pPr>
            <w:r>
              <w:rPr>
                <w:rFonts w:ascii="宋体" w:eastAsia="宋体" w:hAnsi="宋体" w:cs="宋体" w:hint="eastAsia"/>
                <w:sz w:val="24"/>
                <w:lang w:bidi="ar"/>
              </w:rPr>
              <w:t>富维股份2026年半年度业绩暨现金分红说明会</w:t>
            </w:r>
          </w:p>
        </w:tc>
      </w:tr>
      <w:tr w:rsidR="000A3ABC" w14:paraId="0B3667FA" w14:textId="77777777">
        <w:tc>
          <w:tcPr>
            <w:tcW w:w="1980" w:type="dxa"/>
            <w:vAlign w:val="center"/>
          </w:tcPr>
          <w:p w14:paraId="717F307F" w14:textId="77777777" w:rsidR="000A3ABC" w:rsidRDefault="00000000">
            <w:pPr>
              <w:spacing w:after="0" w:line="360" w:lineRule="auto"/>
              <w:jc w:val="center"/>
              <w:rPr>
                <w:rFonts w:ascii="宋体" w:eastAsia="宋体" w:hAnsi="宋体" w:hint="eastAsia"/>
                <w:sz w:val="24"/>
              </w:rPr>
            </w:pPr>
            <w:r>
              <w:rPr>
                <w:rFonts w:ascii="宋体" w:eastAsia="宋体" w:hAnsi="宋体" w:hint="eastAsia"/>
                <w:sz w:val="24"/>
              </w:rPr>
              <w:t>时间</w:t>
            </w:r>
          </w:p>
        </w:tc>
        <w:tc>
          <w:tcPr>
            <w:tcW w:w="6520" w:type="dxa"/>
            <w:vAlign w:val="center"/>
          </w:tcPr>
          <w:p w14:paraId="37747EEF" w14:textId="77777777" w:rsidR="000A3ABC" w:rsidRDefault="00000000">
            <w:pPr>
              <w:spacing w:after="0" w:line="360" w:lineRule="auto"/>
              <w:jc w:val="both"/>
              <w:rPr>
                <w:rFonts w:ascii="宋体" w:eastAsia="宋体" w:hAnsi="宋体" w:hint="eastAsia"/>
                <w:sz w:val="24"/>
              </w:rPr>
            </w:pPr>
            <w:r>
              <w:rPr>
                <w:rFonts w:ascii="宋体" w:eastAsia="宋体" w:hAnsi="宋体"/>
                <w:sz w:val="24"/>
              </w:rPr>
              <w:t>2026年</w:t>
            </w:r>
            <w:r>
              <w:rPr>
                <w:rFonts w:ascii="宋体" w:eastAsia="宋体" w:hAnsi="宋体" w:hint="eastAsia"/>
                <w:sz w:val="24"/>
              </w:rPr>
              <w:t>9</w:t>
            </w:r>
            <w:r>
              <w:rPr>
                <w:rFonts w:ascii="宋体" w:eastAsia="宋体" w:hAnsi="宋体"/>
                <w:sz w:val="24"/>
              </w:rPr>
              <w:t>月</w:t>
            </w:r>
            <w:r>
              <w:rPr>
                <w:rFonts w:ascii="宋体" w:eastAsia="宋体" w:hAnsi="宋体" w:hint="eastAsia"/>
                <w:sz w:val="24"/>
              </w:rPr>
              <w:t>22</w:t>
            </w:r>
            <w:r>
              <w:rPr>
                <w:rFonts w:ascii="宋体" w:eastAsia="宋体" w:hAnsi="宋体"/>
                <w:sz w:val="24"/>
              </w:rPr>
              <w:t>日</w:t>
            </w:r>
            <w:r>
              <w:rPr>
                <w:rFonts w:ascii="宋体" w:eastAsia="宋体" w:hAnsi="宋体" w:hint="eastAsia"/>
                <w:sz w:val="24"/>
              </w:rPr>
              <w:t xml:space="preserve"> 13：00-14：00</w:t>
            </w:r>
          </w:p>
        </w:tc>
      </w:tr>
      <w:tr w:rsidR="000A3ABC" w14:paraId="087918B0" w14:textId="77777777">
        <w:tc>
          <w:tcPr>
            <w:tcW w:w="1980" w:type="dxa"/>
            <w:vAlign w:val="center"/>
          </w:tcPr>
          <w:p w14:paraId="413F8A6F" w14:textId="77777777" w:rsidR="000A3ABC" w:rsidRDefault="00000000">
            <w:pPr>
              <w:spacing w:after="0" w:line="360" w:lineRule="auto"/>
              <w:jc w:val="center"/>
              <w:rPr>
                <w:rFonts w:ascii="宋体" w:eastAsia="宋体" w:hAnsi="宋体" w:hint="eastAsia"/>
                <w:sz w:val="24"/>
              </w:rPr>
            </w:pPr>
            <w:r>
              <w:rPr>
                <w:rFonts w:ascii="宋体" w:eastAsia="宋体" w:hAnsi="宋体" w:hint="eastAsia"/>
                <w:sz w:val="24"/>
              </w:rPr>
              <w:t>地点/方式</w:t>
            </w:r>
          </w:p>
        </w:tc>
        <w:tc>
          <w:tcPr>
            <w:tcW w:w="6520" w:type="dxa"/>
            <w:vAlign w:val="center"/>
          </w:tcPr>
          <w:p w14:paraId="3DAE8909" w14:textId="77777777" w:rsidR="000A3ABC" w:rsidRDefault="00000000">
            <w:pPr>
              <w:spacing w:beforeAutospacing="1" w:after="0" w:line="360" w:lineRule="auto"/>
              <w:jc w:val="both"/>
              <w:rPr>
                <w:rFonts w:ascii="宋体" w:eastAsia="宋体" w:hAnsi="宋体" w:cs="Times New Roman" w:hint="eastAsia"/>
                <w:sz w:val="24"/>
              </w:rPr>
            </w:pPr>
            <w:r>
              <w:rPr>
                <w:rFonts w:ascii="宋体" w:eastAsia="宋体" w:hAnsi="宋体" w:cs="宋体" w:hint="eastAsia"/>
                <w:sz w:val="24"/>
                <w:lang w:bidi="ar"/>
              </w:rPr>
              <w:t>上证路演中心</w:t>
            </w:r>
            <w:r>
              <w:rPr>
                <w:rFonts w:ascii="宋体" w:eastAsia="宋体" w:hAnsi="宋体" w:cs="Times New Roman" w:hint="eastAsia"/>
                <w:sz w:val="24"/>
                <w:lang w:bidi="ar"/>
              </w:rPr>
              <w:t xml:space="preserve"> </w:t>
            </w:r>
            <w:r>
              <w:rPr>
                <w:rFonts w:ascii="宋体" w:eastAsia="宋体" w:hAnsi="宋体" w:cs="宋体" w:hint="eastAsia"/>
                <w:sz w:val="24"/>
              </w:rPr>
              <w:t>https://roadshow.sseinfo.com</w:t>
            </w:r>
          </w:p>
          <w:p w14:paraId="6BCBE766" w14:textId="77777777" w:rsidR="000A3ABC" w:rsidRDefault="00000000">
            <w:pPr>
              <w:spacing w:after="0" w:line="360" w:lineRule="auto"/>
              <w:rPr>
                <w:rFonts w:ascii="宋体" w:eastAsia="宋体" w:hAnsi="宋体" w:hint="eastAsia"/>
                <w:sz w:val="24"/>
              </w:rPr>
            </w:pPr>
            <w:r>
              <w:rPr>
                <w:rFonts w:ascii="宋体" w:eastAsia="宋体" w:hAnsi="宋体" w:cs="宋体" w:hint="eastAsia"/>
                <w:sz w:val="24"/>
              </w:rPr>
              <w:t>网络文字互动</w:t>
            </w:r>
          </w:p>
        </w:tc>
      </w:tr>
      <w:tr w:rsidR="000A3ABC" w14:paraId="12FACCC3" w14:textId="77777777">
        <w:tc>
          <w:tcPr>
            <w:tcW w:w="1980" w:type="dxa"/>
            <w:vAlign w:val="center"/>
          </w:tcPr>
          <w:p w14:paraId="28B4C951" w14:textId="77777777" w:rsidR="000A3ABC" w:rsidRDefault="00000000">
            <w:pPr>
              <w:spacing w:after="0" w:line="360" w:lineRule="auto"/>
              <w:jc w:val="center"/>
              <w:rPr>
                <w:rFonts w:ascii="宋体" w:eastAsia="宋体" w:hAnsi="宋体" w:hint="eastAsia"/>
                <w:sz w:val="24"/>
              </w:rPr>
            </w:pPr>
            <w:r>
              <w:rPr>
                <w:rFonts w:ascii="宋体" w:eastAsia="宋体" w:hAnsi="宋体"/>
                <w:sz w:val="24"/>
              </w:rPr>
              <w:t>上市公司接待人员姓名</w:t>
            </w:r>
          </w:p>
        </w:tc>
        <w:tc>
          <w:tcPr>
            <w:tcW w:w="6520" w:type="dxa"/>
            <w:vAlign w:val="center"/>
          </w:tcPr>
          <w:p w14:paraId="3A9BF6CD" w14:textId="77777777" w:rsidR="000A3ABC" w:rsidRDefault="00000000">
            <w:pPr>
              <w:spacing w:after="0" w:line="360" w:lineRule="auto"/>
              <w:jc w:val="both"/>
              <w:rPr>
                <w:rFonts w:ascii="宋体" w:eastAsia="宋体" w:hAnsi="宋体" w:hint="eastAsia"/>
                <w:sz w:val="24"/>
              </w:rPr>
            </w:pPr>
            <w:r>
              <w:rPr>
                <w:rFonts w:ascii="宋体" w:eastAsia="宋体" w:hAnsi="宋体" w:hint="eastAsia"/>
                <w:sz w:val="24"/>
              </w:rPr>
              <w:t>公司董事长 胡汉杰</w:t>
            </w:r>
          </w:p>
          <w:p w14:paraId="0C57F02A" w14:textId="4D1EC116" w:rsidR="000A3ABC" w:rsidRDefault="00000000">
            <w:pPr>
              <w:spacing w:after="0" w:line="360" w:lineRule="auto"/>
              <w:jc w:val="both"/>
              <w:rPr>
                <w:rFonts w:ascii="宋体" w:eastAsia="宋体" w:hAnsi="宋体" w:hint="eastAsia"/>
                <w:sz w:val="24"/>
              </w:rPr>
            </w:pPr>
            <w:r>
              <w:rPr>
                <w:rFonts w:ascii="宋体" w:eastAsia="宋体" w:hAnsi="宋体" w:hint="eastAsia"/>
                <w:sz w:val="24"/>
              </w:rPr>
              <w:t>公司董事、总经理 刘洪敏</w:t>
            </w:r>
          </w:p>
          <w:p w14:paraId="24A53EFF" w14:textId="77777777" w:rsidR="000A3ABC" w:rsidRDefault="00000000">
            <w:pPr>
              <w:spacing w:after="0" w:line="360" w:lineRule="auto"/>
              <w:jc w:val="both"/>
              <w:rPr>
                <w:rFonts w:ascii="宋体" w:eastAsia="宋体" w:hAnsi="宋体" w:hint="eastAsia"/>
                <w:sz w:val="24"/>
              </w:rPr>
            </w:pPr>
            <w:r>
              <w:rPr>
                <w:rFonts w:ascii="宋体" w:eastAsia="宋体" w:hAnsi="宋体" w:hint="eastAsia"/>
                <w:sz w:val="24"/>
              </w:rPr>
              <w:t>公司副总经理、财务负责人、董事会秘书 李延军</w:t>
            </w:r>
          </w:p>
          <w:p w14:paraId="726E77E7" w14:textId="77777777" w:rsidR="000A3ABC" w:rsidRDefault="00000000">
            <w:pPr>
              <w:spacing w:after="0" w:line="360" w:lineRule="auto"/>
              <w:jc w:val="both"/>
              <w:rPr>
                <w:rFonts w:ascii="宋体" w:eastAsia="宋体" w:hAnsi="宋体" w:hint="eastAsia"/>
                <w:sz w:val="24"/>
              </w:rPr>
            </w:pPr>
            <w:r>
              <w:rPr>
                <w:rFonts w:ascii="宋体" w:eastAsia="宋体" w:hAnsi="宋体" w:hint="eastAsia"/>
                <w:sz w:val="24"/>
              </w:rPr>
              <w:t>公司独立董事 陈守东</w:t>
            </w:r>
          </w:p>
        </w:tc>
      </w:tr>
      <w:tr w:rsidR="000A3ABC" w14:paraId="2BDA58E6" w14:textId="77777777">
        <w:tc>
          <w:tcPr>
            <w:tcW w:w="1980" w:type="dxa"/>
            <w:vAlign w:val="center"/>
          </w:tcPr>
          <w:p w14:paraId="3A8E016C" w14:textId="77777777" w:rsidR="000A3ABC" w:rsidRDefault="00000000">
            <w:pPr>
              <w:spacing w:after="0" w:line="360" w:lineRule="auto"/>
              <w:jc w:val="center"/>
              <w:rPr>
                <w:rFonts w:ascii="宋体" w:eastAsia="宋体" w:hAnsi="宋体" w:hint="eastAsia"/>
                <w:sz w:val="24"/>
              </w:rPr>
            </w:pPr>
            <w:r>
              <w:rPr>
                <w:rFonts w:ascii="宋体" w:eastAsia="宋体" w:hAnsi="宋体" w:hint="eastAsia"/>
                <w:sz w:val="24"/>
              </w:rPr>
              <w:t>投资者关系活动主要内容介绍</w:t>
            </w:r>
          </w:p>
        </w:tc>
        <w:tc>
          <w:tcPr>
            <w:tcW w:w="6520" w:type="dxa"/>
            <w:vAlign w:val="center"/>
          </w:tcPr>
          <w:p w14:paraId="74D968FE" w14:textId="77777777" w:rsidR="000A3ABC" w:rsidRDefault="00000000">
            <w:pPr>
              <w:spacing w:after="0" w:line="360" w:lineRule="auto"/>
              <w:ind w:firstLineChars="700" w:firstLine="1687"/>
              <w:jc w:val="both"/>
              <w:rPr>
                <w:rFonts w:ascii="宋体" w:eastAsia="宋体" w:hAnsi="宋体" w:hint="eastAsia"/>
                <w:b/>
                <w:bCs/>
                <w:sz w:val="24"/>
              </w:rPr>
            </w:pPr>
            <w:r>
              <w:rPr>
                <w:rFonts w:ascii="宋体" w:eastAsia="宋体" w:hAnsi="宋体" w:hint="eastAsia"/>
                <w:b/>
                <w:bCs/>
                <w:sz w:val="24"/>
              </w:rPr>
              <w:t>投资者关系活动主要内容</w:t>
            </w:r>
          </w:p>
          <w:p w14:paraId="0289827F" w14:textId="1105236C" w:rsidR="000A3ABC" w:rsidRDefault="00000000">
            <w:pPr>
              <w:spacing w:after="0" w:line="360" w:lineRule="auto"/>
              <w:jc w:val="both"/>
              <w:rPr>
                <w:rFonts w:ascii="宋体" w:eastAsia="宋体" w:hAnsi="宋体" w:hint="eastAsia"/>
                <w:b/>
                <w:bCs/>
                <w:sz w:val="24"/>
              </w:rPr>
            </w:pPr>
            <w:r>
              <w:rPr>
                <w:rFonts w:ascii="宋体" w:eastAsia="宋体" w:hAnsi="宋体" w:hint="eastAsia"/>
                <w:b/>
                <w:bCs/>
                <w:sz w:val="24"/>
              </w:rPr>
              <w:t>问题一：</w:t>
            </w:r>
            <w:r w:rsidR="002C4E36" w:rsidRPr="002C4E36">
              <w:rPr>
                <w:rFonts w:ascii="宋体" w:eastAsia="宋体" w:hAnsi="宋体"/>
                <w:b/>
                <w:bCs/>
                <w:sz w:val="24"/>
              </w:rPr>
              <w:t>对于下半年的展望如何？</w:t>
            </w:r>
          </w:p>
          <w:p w14:paraId="705FEA39" w14:textId="501E5D2A" w:rsidR="000A3ABC" w:rsidRDefault="00000000">
            <w:pPr>
              <w:spacing w:after="0" w:line="360" w:lineRule="auto"/>
              <w:jc w:val="both"/>
              <w:rPr>
                <w:rFonts w:ascii="宋体" w:eastAsia="宋体" w:hAnsi="宋体" w:hint="eastAsia"/>
                <w:sz w:val="24"/>
              </w:rPr>
            </w:pPr>
            <w:r>
              <w:rPr>
                <w:rFonts w:ascii="宋体" w:eastAsia="宋体" w:hAnsi="宋体" w:hint="eastAsia"/>
                <w:b/>
                <w:bCs/>
                <w:sz w:val="24"/>
                <w:lang w:eastAsia="zh"/>
              </w:rPr>
              <w:t>答复：</w:t>
            </w:r>
            <w:r w:rsidR="002C4E36" w:rsidRPr="002C4E36">
              <w:rPr>
                <w:rFonts w:ascii="宋体" w:eastAsia="宋体" w:hAnsi="宋体"/>
                <w:sz w:val="24"/>
              </w:rPr>
              <w:t>尊敬的投资者您好，2026年上半年受行业整体影响及主要客户产销量下滑影响，营业收入及净利润均出现不同程度的下滑，下半年仍将面临压力，但在此不利局面下，公司将以全域极致降本和外部市场拓展为两大攻坚主线，应对外部经营环境的复杂变化及行业竞争压力的持续加大，同时公司也将持续强化经营管理，坚持以提升运营效率和增强盈利能力为导向，统筹推进成本管控、效率提升和资源优化配置等各项工作。感谢您的关注！</w:t>
            </w:r>
          </w:p>
          <w:p w14:paraId="2AA96D5E" w14:textId="4FEA9599" w:rsidR="000A3ABC" w:rsidRDefault="00000000">
            <w:pPr>
              <w:spacing w:after="0" w:line="360" w:lineRule="auto"/>
              <w:jc w:val="both"/>
              <w:rPr>
                <w:rFonts w:ascii="宋体" w:eastAsia="宋体" w:hAnsi="宋体" w:hint="eastAsia"/>
                <w:b/>
                <w:bCs/>
                <w:sz w:val="24"/>
              </w:rPr>
            </w:pPr>
            <w:r>
              <w:rPr>
                <w:rFonts w:ascii="宋体" w:eastAsia="宋体" w:hAnsi="宋体" w:hint="eastAsia"/>
                <w:b/>
                <w:bCs/>
                <w:sz w:val="24"/>
              </w:rPr>
              <w:t>问题二：</w:t>
            </w:r>
            <w:r w:rsidR="002C4E36" w:rsidRPr="002C4E36">
              <w:rPr>
                <w:rFonts w:ascii="宋体" w:eastAsia="宋体" w:hAnsi="宋体"/>
                <w:b/>
                <w:bCs/>
                <w:sz w:val="24"/>
              </w:rPr>
              <w:t>公司货币资金已经淹没市值。请问未来的分红口径，是否仍然会保持较高水平?目前公司的考虑是按照利润的高</w:t>
            </w:r>
            <w:r w:rsidR="002C4E36" w:rsidRPr="002C4E36">
              <w:rPr>
                <w:rFonts w:ascii="宋体" w:eastAsia="宋体" w:hAnsi="宋体"/>
                <w:b/>
                <w:bCs/>
                <w:sz w:val="24"/>
              </w:rPr>
              <w:lastRenderedPageBreak/>
              <w:t>比例进行分红，我认为，可以按照额定现金数量进行分红，因为公司的利润水平是承压的，但资金方面却没有压力。请问董事长是否考虑过相关可能性？</w:t>
            </w:r>
          </w:p>
          <w:p w14:paraId="40D585D7" w14:textId="2FE2411C" w:rsidR="000A3ABC" w:rsidRDefault="00000000">
            <w:pPr>
              <w:spacing w:after="0" w:line="360" w:lineRule="auto"/>
              <w:ind w:firstLineChars="200" w:firstLine="482"/>
              <w:jc w:val="both"/>
              <w:rPr>
                <w:rFonts w:ascii="宋体" w:eastAsia="宋体" w:hAnsi="宋体" w:hint="eastAsia"/>
                <w:sz w:val="24"/>
              </w:rPr>
            </w:pPr>
            <w:r>
              <w:rPr>
                <w:rFonts w:ascii="宋体" w:eastAsia="宋体" w:hAnsi="宋体" w:hint="eastAsia"/>
                <w:b/>
                <w:bCs/>
                <w:sz w:val="24"/>
              </w:rPr>
              <w:t>答复：</w:t>
            </w:r>
            <w:r w:rsidR="002C4E36" w:rsidRPr="002C4E36">
              <w:rPr>
                <w:rFonts w:ascii="宋体" w:eastAsia="宋体" w:hAnsi="宋体"/>
                <w:sz w:val="24"/>
              </w:rPr>
              <w:t>尊敬的投资者您好，2026年4月份，公司制订并发布了《提质增效重回报行动方案暨估值提升计划》，将每年分红比例不低于50%，分红次数不低于两次延长至2028年。公司已披露《2026半年度权益分派实施公告》（公告编号：2026-046），本次半年度公司每股派发现金红利0.15元（含税），权益分派股权登记日为2026年9月29日，现金红利发放日为2026年9月30日，上半年股利支付率接近60%。您的建议已收悉，感谢您对公司的关注！</w:t>
            </w:r>
          </w:p>
          <w:p w14:paraId="5A7C6903" w14:textId="252FBEF4" w:rsidR="000A3ABC" w:rsidRDefault="00000000">
            <w:pPr>
              <w:spacing w:after="0" w:line="360" w:lineRule="auto"/>
              <w:jc w:val="both"/>
              <w:rPr>
                <w:rFonts w:ascii="宋体" w:eastAsia="宋体" w:hAnsi="宋体" w:hint="eastAsia"/>
                <w:b/>
                <w:bCs/>
                <w:sz w:val="24"/>
              </w:rPr>
            </w:pPr>
            <w:r>
              <w:rPr>
                <w:rFonts w:ascii="宋体" w:eastAsia="宋体" w:hAnsi="宋体" w:hint="eastAsia"/>
                <w:b/>
                <w:bCs/>
                <w:sz w:val="24"/>
              </w:rPr>
              <w:t>问题三：</w:t>
            </w:r>
            <w:r w:rsidR="002C4E36" w:rsidRPr="002C4E36">
              <w:rPr>
                <w:rFonts w:ascii="宋体" w:eastAsia="宋体" w:hAnsi="宋体"/>
                <w:b/>
                <w:bCs/>
                <w:sz w:val="24"/>
              </w:rPr>
              <w:t>外部市场收入占比已从2024年的4%提升至2026H1的16%，目前外部项目全生命周期销售额41.64亿元中，预计在2026H2和2027年各确认多少收入，公司是否有明确的外部收入占比目标；增资一汽旗翼1.5亿元布局eVTOL，目前红旗天辇飞行汽车系列的研发和适航认证进度如何，奥腾博睿合资公司在机器人物理场景智能交互方面是否有具体的客户或订单进展</w:t>
            </w:r>
          </w:p>
          <w:p w14:paraId="71D5851C" w14:textId="0AE19F75" w:rsidR="000A3ABC" w:rsidRDefault="00000000">
            <w:pPr>
              <w:spacing w:after="0" w:line="360" w:lineRule="auto"/>
              <w:ind w:firstLineChars="200" w:firstLine="482"/>
              <w:jc w:val="both"/>
              <w:rPr>
                <w:rFonts w:ascii="宋体" w:eastAsia="宋体" w:hAnsi="宋体" w:hint="eastAsia"/>
                <w:sz w:val="24"/>
              </w:rPr>
            </w:pPr>
            <w:r>
              <w:rPr>
                <w:rFonts w:ascii="宋体" w:eastAsia="宋体" w:hAnsi="宋体" w:hint="eastAsia"/>
                <w:b/>
                <w:bCs/>
                <w:sz w:val="24"/>
              </w:rPr>
              <w:t>答复：</w:t>
            </w:r>
            <w:r w:rsidR="002C4E36" w:rsidRPr="002C4E36">
              <w:rPr>
                <w:rFonts w:ascii="宋体" w:eastAsia="宋体" w:hAnsi="宋体"/>
                <w:sz w:val="24"/>
              </w:rPr>
              <w:t>尊敬的投资者您好！公司持续加大外部市场开拓力度，着力提升非一汽集团客户营收占比。同步整合外部市场资源，重点拓展国内自主品牌及新能源车企，推动客户结构多元化，持续拓宽市场发展空间。关于新兴领域投资进展方面，旗翼科技首款产品“天辇1号”原型机 2025年12月完成带保护首飞，2026年3月底原型机获得民航局科研类特许飞行许可，开启常规科研飞行试验，2026北京车展期间，红旗“天辇1号”概念舱正式公开亮相，同步启动适航机型研制，推动产品从技术验证向商业化定型加速跨越；奥腾博睿围绕新型智能出行装备及物理场景智能交互产品相关零部件的设计、研发、制造、销售及售后服务开展生产经营活动，</w:t>
            </w:r>
            <w:r w:rsidR="002C4E36" w:rsidRPr="002C4E36">
              <w:rPr>
                <w:rFonts w:ascii="宋体" w:eastAsia="宋体" w:hAnsi="宋体"/>
                <w:sz w:val="24"/>
              </w:rPr>
              <w:lastRenderedPageBreak/>
              <w:t>公司现已经注册成立，目前正在与相关客户开展积极交流。具体进展情况、业绩情况请以公司公告为准。感谢您的关注！</w:t>
            </w:r>
          </w:p>
          <w:p w14:paraId="27606807" w14:textId="676A7FEB" w:rsidR="000A3ABC" w:rsidRDefault="00000000">
            <w:pPr>
              <w:spacing w:after="0" w:line="360" w:lineRule="auto"/>
              <w:jc w:val="both"/>
              <w:rPr>
                <w:rFonts w:ascii="宋体" w:eastAsia="宋体" w:hAnsi="宋体" w:hint="eastAsia"/>
                <w:b/>
                <w:bCs/>
                <w:sz w:val="24"/>
              </w:rPr>
            </w:pPr>
            <w:r>
              <w:rPr>
                <w:rFonts w:ascii="宋体" w:eastAsia="宋体" w:hAnsi="宋体" w:hint="eastAsia"/>
                <w:b/>
                <w:bCs/>
                <w:sz w:val="24"/>
                <w:lang w:eastAsia="zh"/>
              </w:rPr>
              <w:t>问题四：</w:t>
            </w:r>
            <w:r w:rsidR="002C4E36" w:rsidRPr="002C4E36">
              <w:rPr>
                <w:rFonts w:ascii="宋体" w:eastAsia="宋体" w:hAnsi="宋体"/>
                <w:b/>
                <w:bCs/>
                <w:sz w:val="24"/>
              </w:rPr>
              <w:t>一汽股份和广汽集团的重组计划，对公司业绩会有影响吗？</w:t>
            </w:r>
          </w:p>
          <w:p w14:paraId="1859718D" w14:textId="77777777" w:rsidR="000A3ABC" w:rsidRDefault="00000000">
            <w:pPr>
              <w:spacing w:after="0" w:line="360" w:lineRule="auto"/>
              <w:ind w:firstLineChars="200" w:firstLine="482"/>
              <w:jc w:val="both"/>
              <w:rPr>
                <w:rFonts w:ascii="宋体" w:eastAsia="宋体" w:hAnsi="宋体" w:hint="eastAsia"/>
                <w:sz w:val="24"/>
                <w:lang w:eastAsia="zh"/>
              </w:rPr>
            </w:pPr>
            <w:r>
              <w:rPr>
                <w:rFonts w:ascii="宋体" w:eastAsia="宋体" w:hAnsi="宋体" w:hint="eastAsia"/>
                <w:b/>
                <w:bCs/>
                <w:sz w:val="24"/>
                <w:lang w:eastAsia="zh"/>
              </w:rPr>
              <w:t>答复：</w:t>
            </w:r>
            <w:r w:rsidR="002C4E36" w:rsidRPr="002C4E36">
              <w:rPr>
                <w:rFonts w:ascii="宋体" w:eastAsia="宋体" w:hAnsi="宋体"/>
                <w:sz w:val="24"/>
                <w:lang w:eastAsia="zh"/>
              </w:rPr>
              <w:t>尊敬的投资者您好，广汽集团尚未披露具体重组方案，暂无法判断对公司影响。感谢您的关注。</w:t>
            </w:r>
          </w:p>
          <w:p w14:paraId="3A65EE5D" w14:textId="2BA126B4" w:rsidR="002C4E36" w:rsidRDefault="002C4E36" w:rsidP="002C4E36">
            <w:pPr>
              <w:spacing w:after="0" w:line="360" w:lineRule="auto"/>
              <w:jc w:val="both"/>
              <w:rPr>
                <w:rFonts w:ascii="宋体" w:eastAsia="宋体" w:hAnsi="宋体" w:hint="eastAsia"/>
                <w:b/>
                <w:bCs/>
                <w:sz w:val="24"/>
              </w:rPr>
            </w:pPr>
            <w:r>
              <w:rPr>
                <w:rFonts w:ascii="宋体" w:eastAsia="宋体" w:hAnsi="宋体" w:hint="eastAsia"/>
                <w:b/>
                <w:bCs/>
                <w:sz w:val="24"/>
                <w:lang w:eastAsia="zh"/>
              </w:rPr>
              <w:t>问题五：</w:t>
            </w:r>
            <w:r w:rsidRPr="002C4E36">
              <w:rPr>
                <w:rFonts w:ascii="宋体" w:eastAsia="宋体" w:hAnsi="宋体"/>
                <w:b/>
                <w:bCs/>
                <w:sz w:val="24"/>
              </w:rPr>
              <w:t>公司股价长期破净，有何市值管理计划，是否考虑利用自有资金进行回购,"可行性论证“有何进展？</w:t>
            </w:r>
          </w:p>
          <w:p w14:paraId="26144DBC" w14:textId="2F687013" w:rsidR="002C4E36" w:rsidRDefault="002C4E36" w:rsidP="002C4E36">
            <w:pPr>
              <w:spacing w:after="0" w:line="360" w:lineRule="auto"/>
              <w:ind w:firstLineChars="200" w:firstLine="482"/>
              <w:jc w:val="both"/>
              <w:rPr>
                <w:rFonts w:ascii="宋体" w:eastAsia="宋体" w:hAnsi="宋体" w:hint="eastAsia"/>
                <w:sz w:val="24"/>
                <w:lang w:eastAsia="zh"/>
              </w:rPr>
            </w:pPr>
            <w:r>
              <w:rPr>
                <w:rFonts w:ascii="宋体" w:eastAsia="宋体" w:hAnsi="宋体" w:hint="eastAsia"/>
                <w:b/>
                <w:bCs/>
                <w:sz w:val="24"/>
                <w:lang w:eastAsia="zh"/>
              </w:rPr>
              <w:t>答复：</w:t>
            </w:r>
            <w:r w:rsidRPr="002C4E36">
              <w:rPr>
                <w:rFonts w:ascii="宋体" w:eastAsia="宋体" w:hAnsi="宋体"/>
                <w:sz w:val="24"/>
                <w:lang w:eastAsia="zh"/>
              </w:rPr>
              <w:t>尊敬的投资者您好，公司分别于2025年4月份和2026年4月份发布了《估值提升计划》，并按计划对现金分红等具体举措进行了认真落实，关于回购这项市值管理工具，因可能涉及目前股权结构的变化，因此公司正在根据经营实际和合规要求积极论证可行性，具体请关注公司在上海证券交易所发布的相关公告。感谢您对公司的关注！</w:t>
            </w:r>
          </w:p>
          <w:p w14:paraId="73F6E223" w14:textId="5DE9D38E" w:rsidR="002C4E36" w:rsidRDefault="002C4E36" w:rsidP="002C4E36">
            <w:pPr>
              <w:spacing w:after="0" w:line="360" w:lineRule="auto"/>
              <w:jc w:val="both"/>
              <w:rPr>
                <w:rFonts w:ascii="宋体" w:eastAsia="宋体" w:hAnsi="宋体" w:hint="eastAsia"/>
                <w:b/>
                <w:bCs/>
                <w:sz w:val="24"/>
              </w:rPr>
            </w:pPr>
            <w:r>
              <w:rPr>
                <w:rFonts w:ascii="宋体" w:eastAsia="宋体" w:hAnsi="宋体" w:hint="eastAsia"/>
                <w:b/>
                <w:bCs/>
                <w:sz w:val="24"/>
                <w:lang w:eastAsia="zh"/>
              </w:rPr>
              <w:t>问题六：</w:t>
            </w:r>
            <w:r w:rsidRPr="002C4E36">
              <w:rPr>
                <w:rFonts w:ascii="宋体" w:eastAsia="宋体" w:hAnsi="宋体" w:hint="eastAsia"/>
                <w:b/>
                <w:bCs/>
                <w:sz w:val="24"/>
              </w:rPr>
              <w:t>1公司股价长期跌破净资产且账面持有大量现金，请问公司为什么不回购股份，近期有没有回购股份的计划？2公司业绩连年萎缩，高管薪酬却连年增长，请问是因为公司管理难度的加大，还是公司高管管理能力增强。还是在损害广大投资者权益？3公司业绩连年下降，请问是什么原因导致的，公司有没有应对策略？</w:t>
            </w:r>
          </w:p>
          <w:p w14:paraId="77D143BC" w14:textId="0F8B3560" w:rsidR="002C4E36" w:rsidRDefault="002C4E36" w:rsidP="002C4E36">
            <w:pPr>
              <w:spacing w:after="0" w:line="360" w:lineRule="auto"/>
              <w:ind w:firstLineChars="200" w:firstLine="482"/>
              <w:jc w:val="both"/>
              <w:rPr>
                <w:rFonts w:ascii="宋体" w:eastAsia="宋体" w:hAnsi="宋体" w:hint="eastAsia"/>
                <w:sz w:val="24"/>
                <w:lang w:eastAsia="zh"/>
              </w:rPr>
            </w:pPr>
            <w:r>
              <w:rPr>
                <w:rFonts w:ascii="宋体" w:eastAsia="宋体" w:hAnsi="宋体" w:hint="eastAsia"/>
                <w:b/>
                <w:bCs/>
                <w:sz w:val="24"/>
                <w:lang w:eastAsia="zh"/>
              </w:rPr>
              <w:t>答复：</w:t>
            </w:r>
            <w:r w:rsidRPr="002C4E36">
              <w:rPr>
                <w:rFonts w:ascii="宋体" w:eastAsia="宋体" w:hAnsi="宋体"/>
                <w:sz w:val="24"/>
                <w:lang w:eastAsia="zh"/>
              </w:rPr>
              <w:t>尊敬的投资者您好，关于回购这项市值管理工具，因可能涉及目前股权结构的变化，因此公司正在根据经营实际和合规要求积极论证可行性，具体请关注公司在上海证券交易所发布的相关公告。公司2025年实现营业收入198.68亿元，较2024年度的196.36亿元增长1.18%，利润总额及归母净利润的下降主要受2024年度出售一汽财务公司股权影响。剔除该影响后，2025年度利润总额同比增长9.7%、归母净利润同比增长3.6%。公司高管薪酬执行市场化核定机制，结合年度经营目标完成情况、经营质量及风险管控成效等维</w:t>
            </w:r>
            <w:r w:rsidRPr="002C4E36">
              <w:rPr>
                <w:rFonts w:ascii="宋体" w:eastAsia="宋体" w:hAnsi="宋体"/>
                <w:sz w:val="24"/>
                <w:lang w:eastAsia="zh"/>
              </w:rPr>
              <w:lastRenderedPageBreak/>
              <w:t>度综合确定。2026年上半年营业收入及净利润均出现不同程度的下滑。但在此不利局面下，公司以全域极致降本和外部市场拓展为两大攻坚主线。面对外部经营环境复杂变化及行业竞争压力持续加大的情况，公司持续强化经营管理，坚持以提升运营效率和增强盈利能力为导向，统筹推进成本管控、效率提升和资源优化配置等各项工作。上半年，公司累计实现降本4.2亿元，对冲了部分收入下滑带来的盈利压力。下半年，公司将继续围绕经营改善重点任务，深入推进精益管理和全价值链成本管控，进一步提升资源利用效率和经营质量。外部市场拓展方面，2026年上半年，公司及下属参控股公司累计斩获外部市场项目26项，新项目全生命周期销售额41.64亿元。其中，新能源新订单生命周期销售额39.35亿元，占比达94.5%，覆盖江淮、小鹏、长城、吉利、北汽、蔚来、日产等多家整车企业。上半年，公司集团外市场开拓取得积极进展，上半年一汽集团外收入同比增长超过25%，收入占比提升至16%。感谢您的关注！</w:t>
            </w:r>
          </w:p>
          <w:p w14:paraId="3220684D" w14:textId="0056DDA8" w:rsidR="002C4E36" w:rsidRDefault="002C4E36" w:rsidP="002C4E36">
            <w:pPr>
              <w:spacing w:after="0" w:line="360" w:lineRule="auto"/>
              <w:jc w:val="both"/>
              <w:rPr>
                <w:rFonts w:ascii="宋体" w:eastAsia="宋体" w:hAnsi="宋体" w:hint="eastAsia"/>
                <w:b/>
                <w:bCs/>
                <w:sz w:val="24"/>
              </w:rPr>
            </w:pPr>
            <w:r>
              <w:rPr>
                <w:rFonts w:ascii="宋体" w:eastAsia="宋体" w:hAnsi="宋体" w:hint="eastAsia"/>
                <w:b/>
                <w:bCs/>
                <w:sz w:val="24"/>
                <w:lang w:eastAsia="zh"/>
              </w:rPr>
              <w:t>问题七：</w:t>
            </w:r>
            <w:r w:rsidRPr="002C4E36">
              <w:rPr>
                <w:rFonts w:ascii="宋体" w:eastAsia="宋体" w:hAnsi="宋体"/>
                <w:b/>
                <w:bCs/>
                <w:sz w:val="24"/>
              </w:rPr>
              <w:t>公司业绩表现呈下降趋势，2025年归母净利润同比下降8.58%，2026年上半年同比下降28.28%，公司管理层薪酬却大幅上涨，薪酬考核与业绩表现未紧密挂钩，是否不合理</w:t>
            </w:r>
          </w:p>
          <w:p w14:paraId="363B0415" w14:textId="4ABCF2E1" w:rsidR="002C4E36" w:rsidRDefault="002C4E36" w:rsidP="002C4E36">
            <w:pPr>
              <w:spacing w:after="0" w:line="360" w:lineRule="auto"/>
              <w:ind w:firstLineChars="200" w:firstLine="482"/>
              <w:jc w:val="both"/>
              <w:rPr>
                <w:rFonts w:ascii="宋体" w:eastAsia="宋体" w:hAnsi="宋体" w:hint="eastAsia"/>
                <w:sz w:val="24"/>
                <w:lang w:eastAsia="zh"/>
              </w:rPr>
            </w:pPr>
            <w:r>
              <w:rPr>
                <w:rFonts w:ascii="宋体" w:eastAsia="宋体" w:hAnsi="宋体" w:hint="eastAsia"/>
                <w:b/>
                <w:bCs/>
                <w:sz w:val="24"/>
                <w:lang w:eastAsia="zh"/>
              </w:rPr>
              <w:t>答复：</w:t>
            </w:r>
            <w:r w:rsidRPr="002C4E36">
              <w:rPr>
                <w:rFonts w:ascii="宋体" w:eastAsia="宋体" w:hAnsi="宋体"/>
                <w:sz w:val="24"/>
                <w:lang w:eastAsia="zh"/>
              </w:rPr>
              <w:t>尊敬的投资者您好，2025年公司实现营业收入198.68亿元，较2024年度的196.36亿元增长1.18%，利润总额及归母净利润的下降主要受2024年度出售一汽财务公司股权影响。剔除该影响后，2025年度利润总额同比增长9.7%、归母净利润同比增长3.6%。公司高管薪酬执行市场化核定机制，结合年度经营目标完成情况、经营质量及风险管控成效等维度综合确定。感谢您的关注！</w:t>
            </w:r>
          </w:p>
          <w:p w14:paraId="11185F8A" w14:textId="00FECB94" w:rsidR="002C4E36" w:rsidRDefault="002C4E36" w:rsidP="002C4E36">
            <w:pPr>
              <w:spacing w:after="0" w:line="360" w:lineRule="auto"/>
              <w:jc w:val="both"/>
              <w:rPr>
                <w:rFonts w:ascii="宋体" w:eastAsia="宋体" w:hAnsi="宋体" w:hint="eastAsia"/>
                <w:b/>
                <w:bCs/>
                <w:sz w:val="24"/>
              </w:rPr>
            </w:pPr>
            <w:r>
              <w:rPr>
                <w:rFonts w:ascii="宋体" w:eastAsia="宋体" w:hAnsi="宋体" w:hint="eastAsia"/>
                <w:b/>
                <w:bCs/>
                <w:sz w:val="24"/>
                <w:lang w:eastAsia="zh"/>
              </w:rPr>
              <w:t>问题八：</w:t>
            </w:r>
            <w:r w:rsidRPr="002C4E36">
              <w:rPr>
                <w:rFonts w:ascii="宋体" w:eastAsia="宋体" w:hAnsi="宋体"/>
                <w:b/>
                <w:bCs/>
                <w:sz w:val="24"/>
              </w:rPr>
              <w:t>公司业绩大福下降，高管薪酬却大幅度增长，增幅达百分之一百甚至百分之二百，作为投资者确实百思不得其</w:t>
            </w:r>
            <w:r w:rsidRPr="002C4E36">
              <w:rPr>
                <w:rFonts w:ascii="宋体" w:eastAsia="宋体" w:hAnsi="宋体"/>
                <w:b/>
                <w:bCs/>
                <w:sz w:val="24"/>
              </w:rPr>
              <w:lastRenderedPageBreak/>
              <w:t>解，是公司管理难度增大了，还是高管为公司付出多了？从公司的业绩和股价的结果看显然是不对的，请问公司能不能给出大幅度加薪的合理解释？</w:t>
            </w:r>
          </w:p>
          <w:p w14:paraId="0FC4902C" w14:textId="13CA5D04" w:rsidR="002C4E36" w:rsidRDefault="002C4E36" w:rsidP="002C4E36">
            <w:pPr>
              <w:spacing w:after="0" w:line="360" w:lineRule="auto"/>
              <w:ind w:firstLineChars="200" w:firstLine="482"/>
              <w:jc w:val="both"/>
              <w:rPr>
                <w:rFonts w:ascii="宋体" w:eastAsia="宋体" w:hAnsi="宋体" w:hint="eastAsia"/>
                <w:sz w:val="24"/>
                <w:lang w:eastAsia="zh"/>
              </w:rPr>
            </w:pPr>
            <w:r>
              <w:rPr>
                <w:rFonts w:ascii="宋体" w:eastAsia="宋体" w:hAnsi="宋体" w:hint="eastAsia"/>
                <w:b/>
                <w:bCs/>
                <w:sz w:val="24"/>
                <w:lang w:eastAsia="zh"/>
              </w:rPr>
              <w:t>答复：</w:t>
            </w:r>
            <w:r w:rsidRPr="002C4E36">
              <w:rPr>
                <w:rFonts w:ascii="宋体" w:eastAsia="宋体" w:hAnsi="宋体"/>
                <w:sz w:val="24"/>
                <w:lang w:eastAsia="zh"/>
              </w:rPr>
              <w:t>尊敬的投资者您好，2025年公司实现营业收入198.68亿元，较2024年度的196.36亿元增长1.18%，利润总额及归母净利润的下降主要受2024年度出售一汽财务公司股权影响。剔除该影响后，2025年度利润总额同比增长9.7%、归母净利润同比增长3.6%。公司高管薪酬执行市场化核定机制，结合年度经营目标完成情况、经营质量及风险管控成效等维度综合确定。感谢您的关注！</w:t>
            </w:r>
          </w:p>
          <w:p w14:paraId="02DB97B8" w14:textId="08C7937F" w:rsidR="002C4E36" w:rsidRDefault="002C4E36" w:rsidP="002C4E36">
            <w:pPr>
              <w:spacing w:after="0" w:line="360" w:lineRule="auto"/>
              <w:jc w:val="both"/>
              <w:rPr>
                <w:rFonts w:ascii="宋体" w:eastAsia="宋体" w:hAnsi="宋体" w:hint="eastAsia"/>
                <w:b/>
                <w:bCs/>
                <w:sz w:val="24"/>
              </w:rPr>
            </w:pPr>
            <w:r>
              <w:rPr>
                <w:rFonts w:ascii="宋体" w:eastAsia="宋体" w:hAnsi="宋体" w:hint="eastAsia"/>
                <w:b/>
                <w:bCs/>
                <w:sz w:val="24"/>
                <w:lang w:eastAsia="zh"/>
              </w:rPr>
              <w:t>问题九：</w:t>
            </w:r>
            <w:r w:rsidRPr="002C4E36">
              <w:rPr>
                <w:rFonts w:ascii="宋体" w:eastAsia="宋体" w:hAnsi="宋体"/>
                <w:b/>
                <w:bCs/>
                <w:sz w:val="24"/>
              </w:rPr>
              <w:t>公司分红大股东拿走了大部分，公司为什么不响应号召采用回购和分红并举的方式。每次投资者提到回购，公司总是刻意回避。公司账面现金近100亿，仅少部分做了结构存款，大部分资金闲置在银行账户，公司市值才仅仅50亿，已严重破净。公司是完全有条件也是有必要可以采取回购的方式来维护股价的。请问公司为什么迟迟不能回购？</w:t>
            </w:r>
          </w:p>
          <w:p w14:paraId="6C34E737" w14:textId="79FE3573" w:rsidR="002C4E36" w:rsidRDefault="002C4E36" w:rsidP="002C4E36">
            <w:pPr>
              <w:spacing w:after="0" w:line="360" w:lineRule="auto"/>
              <w:ind w:firstLineChars="200" w:firstLine="482"/>
              <w:jc w:val="both"/>
              <w:rPr>
                <w:rFonts w:ascii="宋体" w:eastAsia="宋体" w:hAnsi="宋体" w:hint="eastAsia"/>
                <w:sz w:val="24"/>
                <w:lang w:eastAsia="zh"/>
              </w:rPr>
            </w:pPr>
            <w:r>
              <w:rPr>
                <w:rFonts w:ascii="宋体" w:eastAsia="宋体" w:hAnsi="宋体" w:hint="eastAsia"/>
                <w:b/>
                <w:bCs/>
                <w:sz w:val="24"/>
                <w:lang w:eastAsia="zh"/>
              </w:rPr>
              <w:t>答复：</w:t>
            </w:r>
            <w:r w:rsidRPr="002C4E36">
              <w:rPr>
                <w:rFonts w:ascii="宋体" w:eastAsia="宋体" w:hAnsi="宋体"/>
                <w:sz w:val="24"/>
                <w:lang w:eastAsia="zh"/>
              </w:rPr>
              <w:t>尊敬的投资者您好，公司分红遵循同股同权，不存在差异化分红情况，截至2026年6月末，持股比例在5%以上的股东合计持股38.39%，因此61.61%的现金分红均回馈给了中小股东。公司2025年末合并口径货币资金90.86亿元，其中大部分存在于公司分公司和子公司账户，系各公司日常经营所需的流动资金，剩余部分资金在2026年上半年，已结合公司资金与市场利率情况，在保证公司正常经营以及资金流动性和安全性的基础上，使用不超过20亿元自有资金购买了结构性存款。公司需要为向智能化转型、布局新业务赛道，以及潜在的并购扩张提供了关键的财务资源，公司正推进的产能升级、技术研发、投资并购等项目，具有投资规模大、回收周期长的特性，现金储备为项目顺利落地提供资金保障，避免因外部融资成本过高侵蚀利润。公司当前股价低于每股净</w:t>
            </w:r>
            <w:r w:rsidRPr="002C4E36">
              <w:rPr>
                <w:rFonts w:ascii="宋体" w:eastAsia="宋体" w:hAnsi="宋体"/>
                <w:sz w:val="24"/>
                <w:lang w:eastAsia="zh"/>
              </w:rPr>
              <w:lastRenderedPageBreak/>
              <w:t>资产，主要受行业属性、市场风格及投资者预期等多重因素影响，一方面，公司所处汽车零部件行业具有重资产、竞争较为充分等特点，市场对行业盈利修复和增长仍持审慎态度；另一方面，A股资金偏好更偏向成长性和主题性标的，公司整体经营风格稳健、流动性相对有限，因此估值水平阶段性承压。关于回购等市值管理工具，公司正在根据经营实际和合规要求积极论证可行性，具体请关注公司在上海证券交易所发布的相关公告。感谢您的关注！</w:t>
            </w:r>
          </w:p>
          <w:p w14:paraId="44971075" w14:textId="0C86C39D" w:rsidR="002C4E36" w:rsidRDefault="002C4E36" w:rsidP="002C4E36">
            <w:pPr>
              <w:spacing w:after="0" w:line="360" w:lineRule="auto"/>
              <w:jc w:val="both"/>
              <w:rPr>
                <w:rFonts w:ascii="宋体" w:eastAsia="宋体" w:hAnsi="宋体" w:hint="eastAsia"/>
                <w:b/>
                <w:bCs/>
                <w:sz w:val="24"/>
              </w:rPr>
            </w:pPr>
            <w:r>
              <w:rPr>
                <w:rFonts w:ascii="宋体" w:eastAsia="宋体" w:hAnsi="宋体" w:hint="eastAsia"/>
                <w:b/>
                <w:bCs/>
                <w:sz w:val="24"/>
                <w:lang w:eastAsia="zh"/>
              </w:rPr>
              <w:t>问题十：</w:t>
            </w:r>
            <w:r w:rsidRPr="002C4E36">
              <w:rPr>
                <w:rFonts w:ascii="宋体" w:eastAsia="宋体" w:hAnsi="宋体"/>
                <w:b/>
                <w:bCs/>
                <w:sz w:val="24"/>
              </w:rPr>
              <w:t>公司的货币资金以及许多可以折现成现金的速动资产的价值，已经远超过市值水平。在远景利润水平稳定或下滑的可能性下，公司是否有意愿维持大额分红？如果有意愿，愿意保持在年利润的多大比例以上？</w:t>
            </w:r>
          </w:p>
          <w:p w14:paraId="38839AE7" w14:textId="3BE54B25" w:rsidR="002C4E36" w:rsidRDefault="002C4E36" w:rsidP="002C4E36">
            <w:pPr>
              <w:spacing w:after="0" w:line="360" w:lineRule="auto"/>
              <w:ind w:firstLineChars="200" w:firstLine="482"/>
              <w:jc w:val="both"/>
              <w:rPr>
                <w:rFonts w:ascii="宋体" w:eastAsia="宋体" w:hAnsi="宋体" w:hint="eastAsia"/>
                <w:sz w:val="24"/>
                <w:lang w:eastAsia="zh"/>
              </w:rPr>
            </w:pPr>
            <w:r>
              <w:rPr>
                <w:rFonts w:ascii="宋体" w:eastAsia="宋体" w:hAnsi="宋体" w:hint="eastAsia"/>
                <w:b/>
                <w:bCs/>
                <w:sz w:val="24"/>
                <w:lang w:eastAsia="zh"/>
              </w:rPr>
              <w:t>答复：</w:t>
            </w:r>
            <w:r w:rsidRPr="002C4E36">
              <w:rPr>
                <w:rFonts w:ascii="宋体" w:eastAsia="宋体" w:hAnsi="宋体"/>
                <w:sz w:val="24"/>
                <w:lang w:eastAsia="zh"/>
              </w:rPr>
              <w:t>尊敬的投资者您好，2026年4月份，公司制订并发布了《提质增效重回报行动方案暨估值提升计划》，将每年分红比例不低于50%，分红次数不低于两次延长至2028年。公司已披露《2026半年度权益分派实施公告》（公告编号：2026-046），本次半年度公司每股派发现金红利0.15元（含税），权益分派股权登记日为2026年9月29日，现金红利发放日为2026年9月30日，上半年股利支付率接近60%。感谢您对公司的关注！</w:t>
            </w:r>
          </w:p>
        </w:tc>
      </w:tr>
    </w:tbl>
    <w:p w14:paraId="7291463E" w14:textId="77777777" w:rsidR="000A3ABC" w:rsidRDefault="000A3ABC">
      <w:pPr>
        <w:spacing w:after="0" w:line="240" w:lineRule="auto"/>
        <w:jc w:val="right"/>
        <w:rPr>
          <w:rFonts w:ascii="宋体" w:eastAsia="宋体" w:hAnsi="宋体" w:hint="eastAsia"/>
        </w:rPr>
      </w:pPr>
    </w:p>
    <w:p w14:paraId="4A40BECB" w14:textId="77777777" w:rsidR="000A3ABC" w:rsidRDefault="000A3ABC">
      <w:pPr>
        <w:spacing w:after="0" w:line="240" w:lineRule="auto"/>
        <w:jc w:val="right"/>
        <w:rPr>
          <w:rFonts w:ascii="宋体" w:eastAsia="宋体" w:hAnsi="宋体" w:hint="eastAsia"/>
        </w:rPr>
      </w:pPr>
    </w:p>
    <w:sectPr w:rsidR="000A3ABC">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046A5" w14:textId="77777777" w:rsidR="00D04F90" w:rsidRDefault="00D04F90">
      <w:pPr>
        <w:spacing w:line="240" w:lineRule="auto"/>
        <w:rPr>
          <w:rFonts w:hint="eastAsia"/>
        </w:rPr>
      </w:pPr>
      <w:r>
        <w:separator/>
      </w:r>
    </w:p>
  </w:endnote>
  <w:endnote w:type="continuationSeparator" w:id="0">
    <w:p w14:paraId="3C8FBF87" w14:textId="77777777" w:rsidR="00D04F90" w:rsidRDefault="00D04F90">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4C18C" w14:textId="77777777" w:rsidR="00D04F90" w:rsidRDefault="00D04F90">
      <w:pPr>
        <w:spacing w:after="0"/>
        <w:rPr>
          <w:rFonts w:hint="eastAsia"/>
        </w:rPr>
      </w:pPr>
      <w:r>
        <w:separator/>
      </w:r>
    </w:p>
  </w:footnote>
  <w:footnote w:type="continuationSeparator" w:id="0">
    <w:p w14:paraId="05AE33B7" w14:textId="77777777" w:rsidR="00D04F90" w:rsidRDefault="00D04F90">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EFF"/>
    <w:rsid w:val="00002D4B"/>
    <w:rsid w:val="00055175"/>
    <w:rsid w:val="00065B50"/>
    <w:rsid w:val="00070818"/>
    <w:rsid w:val="0008466E"/>
    <w:rsid w:val="000A3ABC"/>
    <w:rsid w:val="000B3EB7"/>
    <w:rsid w:val="000B5B73"/>
    <w:rsid w:val="000D3678"/>
    <w:rsid w:val="000D3D8F"/>
    <w:rsid w:val="000E5CAF"/>
    <w:rsid w:val="000E71D2"/>
    <w:rsid w:val="00102839"/>
    <w:rsid w:val="00116716"/>
    <w:rsid w:val="00116BEF"/>
    <w:rsid w:val="00132D3B"/>
    <w:rsid w:val="001547ED"/>
    <w:rsid w:val="00170970"/>
    <w:rsid w:val="0017311C"/>
    <w:rsid w:val="001766EF"/>
    <w:rsid w:val="001934E9"/>
    <w:rsid w:val="001A60B7"/>
    <w:rsid w:val="001B1BF3"/>
    <w:rsid w:val="001B5547"/>
    <w:rsid w:val="001B635E"/>
    <w:rsid w:val="001C353F"/>
    <w:rsid w:val="001E1EE5"/>
    <w:rsid w:val="0020006A"/>
    <w:rsid w:val="00200BC2"/>
    <w:rsid w:val="002027D4"/>
    <w:rsid w:val="002146ED"/>
    <w:rsid w:val="00270EFF"/>
    <w:rsid w:val="00272075"/>
    <w:rsid w:val="00274EB7"/>
    <w:rsid w:val="00281156"/>
    <w:rsid w:val="002901CE"/>
    <w:rsid w:val="00296E0B"/>
    <w:rsid w:val="002A764E"/>
    <w:rsid w:val="002B09DF"/>
    <w:rsid w:val="002C4E36"/>
    <w:rsid w:val="002C6493"/>
    <w:rsid w:val="002E04CB"/>
    <w:rsid w:val="002E5386"/>
    <w:rsid w:val="002F76AD"/>
    <w:rsid w:val="003032D1"/>
    <w:rsid w:val="003161E2"/>
    <w:rsid w:val="0033696B"/>
    <w:rsid w:val="00347EE1"/>
    <w:rsid w:val="00352C42"/>
    <w:rsid w:val="003541E2"/>
    <w:rsid w:val="00355602"/>
    <w:rsid w:val="003577FF"/>
    <w:rsid w:val="00357F86"/>
    <w:rsid w:val="00367500"/>
    <w:rsid w:val="00380CA1"/>
    <w:rsid w:val="003840AE"/>
    <w:rsid w:val="00395D78"/>
    <w:rsid w:val="003A6A57"/>
    <w:rsid w:val="003D2BAD"/>
    <w:rsid w:val="003E7690"/>
    <w:rsid w:val="003F485D"/>
    <w:rsid w:val="00462648"/>
    <w:rsid w:val="00466521"/>
    <w:rsid w:val="00481B61"/>
    <w:rsid w:val="004A1794"/>
    <w:rsid w:val="004A4D6B"/>
    <w:rsid w:val="004A52A5"/>
    <w:rsid w:val="004B2259"/>
    <w:rsid w:val="005333A5"/>
    <w:rsid w:val="00561CD9"/>
    <w:rsid w:val="00563945"/>
    <w:rsid w:val="005C4DED"/>
    <w:rsid w:val="005C5E68"/>
    <w:rsid w:val="005D6D06"/>
    <w:rsid w:val="005E067F"/>
    <w:rsid w:val="005E3EC9"/>
    <w:rsid w:val="00612DB3"/>
    <w:rsid w:val="00622185"/>
    <w:rsid w:val="0063447C"/>
    <w:rsid w:val="0064596B"/>
    <w:rsid w:val="00647FB1"/>
    <w:rsid w:val="00651DA2"/>
    <w:rsid w:val="006523B8"/>
    <w:rsid w:val="0069044F"/>
    <w:rsid w:val="0069323E"/>
    <w:rsid w:val="006B0DC0"/>
    <w:rsid w:val="006B591C"/>
    <w:rsid w:val="006C08F1"/>
    <w:rsid w:val="006D62B2"/>
    <w:rsid w:val="006E1ADA"/>
    <w:rsid w:val="006E31BB"/>
    <w:rsid w:val="006E6C50"/>
    <w:rsid w:val="006F6FC4"/>
    <w:rsid w:val="007057EA"/>
    <w:rsid w:val="00706870"/>
    <w:rsid w:val="00740604"/>
    <w:rsid w:val="00744D51"/>
    <w:rsid w:val="00747AC2"/>
    <w:rsid w:val="00754733"/>
    <w:rsid w:val="0078560B"/>
    <w:rsid w:val="007A03A5"/>
    <w:rsid w:val="007C57FE"/>
    <w:rsid w:val="007C65AD"/>
    <w:rsid w:val="007D11F7"/>
    <w:rsid w:val="007E4212"/>
    <w:rsid w:val="007F64BB"/>
    <w:rsid w:val="00811322"/>
    <w:rsid w:val="008148A2"/>
    <w:rsid w:val="00820ED8"/>
    <w:rsid w:val="00825E41"/>
    <w:rsid w:val="00832476"/>
    <w:rsid w:val="008658D6"/>
    <w:rsid w:val="0087083C"/>
    <w:rsid w:val="008776F6"/>
    <w:rsid w:val="008854EB"/>
    <w:rsid w:val="008A16D4"/>
    <w:rsid w:val="008B338C"/>
    <w:rsid w:val="008F2FB7"/>
    <w:rsid w:val="008F5DBC"/>
    <w:rsid w:val="0090546A"/>
    <w:rsid w:val="00924F4E"/>
    <w:rsid w:val="00925D1E"/>
    <w:rsid w:val="0094408C"/>
    <w:rsid w:val="00963F4B"/>
    <w:rsid w:val="00984248"/>
    <w:rsid w:val="0098439E"/>
    <w:rsid w:val="00995C78"/>
    <w:rsid w:val="009A4E3A"/>
    <w:rsid w:val="009C51F4"/>
    <w:rsid w:val="009C5FB4"/>
    <w:rsid w:val="009E3241"/>
    <w:rsid w:val="00A01ADE"/>
    <w:rsid w:val="00A031FC"/>
    <w:rsid w:val="00A06646"/>
    <w:rsid w:val="00A36924"/>
    <w:rsid w:val="00A428E7"/>
    <w:rsid w:val="00A47B06"/>
    <w:rsid w:val="00A504DF"/>
    <w:rsid w:val="00A56527"/>
    <w:rsid w:val="00A7252B"/>
    <w:rsid w:val="00A86DC0"/>
    <w:rsid w:val="00AD5078"/>
    <w:rsid w:val="00AE73DA"/>
    <w:rsid w:val="00AF267F"/>
    <w:rsid w:val="00B11C44"/>
    <w:rsid w:val="00B135FC"/>
    <w:rsid w:val="00B17295"/>
    <w:rsid w:val="00B26FBE"/>
    <w:rsid w:val="00B42FC3"/>
    <w:rsid w:val="00B56E3F"/>
    <w:rsid w:val="00B5730B"/>
    <w:rsid w:val="00BB1A84"/>
    <w:rsid w:val="00BC49E8"/>
    <w:rsid w:val="00BD73A6"/>
    <w:rsid w:val="00C54304"/>
    <w:rsid w:val="00C5703A"/>
    <w:rsid w:val="00C95162"/>
    <w:rsid w:val="00C96518"/>
    <w:rsid w:val="00CB5FB8"/>
    <w:rsid w:val="00CD497F"/>
    <w:rsid w:val="00D02614"/>
    <w:rsid w:val="00D04F90"/>
    <w:rsid w:val="00D170CE"/>
    <w:rsid w:val="00D17EB7"/>
    <w:rsid w:val="00D211E1"/>
    <w:rsid w:val="00D30C09"/>
    <w:rsid w:val="00D46AA5"/>
    <w:rsid w:val="00D84FEF"/>
    <w:rsid w:val="00DB5933"/>
    <w:rsid w:val="00DC712D"/>
    <w:rsid w:val="00DD0DDD"/>
    <w:rsid w:val="00DE655F"/>
    <w:rsid w:val="00E02E3E"/>
    <w:rsid w:val="00E13B95"/>
    <w:rsid w:val="00E1561D"/>
    <w:rsid w:val="00E15620"/>
    <w:rsid w:val="00E15762"/>
    <w:rsid w:val="00E417D0"/>
    <w:rsid w:val="00E502EF"/>
    <w:rsid w:val="00E50A85"/>
    <w:rsid w:val="00E54A34"/>
    <w:rsid w:val="00EB588A"/>
    <w:rsid w:val="00EB588E"/>
    <w:rsid w:val="00EC0AE8"/>
    <w:rsid w:val="00EC5392"/>
    <w:rsid w:val="00ED03F7"/>
    <w:rsid w:val="00EE21FB"/>
    <w:rsid w:val="00EE5047"/>
    <w:rsid w:val="00EF464E"/>
    <w:rsid w:val="00F05CC2"/>
    <w:rsid w:val="00F2698A"/>
    <w:rsid w:val="00F50748"/>
    <w:rsid w:val="00F55690"/>
    <w:rsid w:val="00F65D94"/>
    <w:rsid w:val="00FA246E"/>
    <w:rsid w:val="00FA2E45"/>
    <w:rsid w:val="00FA4564"/>
    <w:rsid w:val="00FA4AB0"/>
    <w:rsid w:val="00FA4F91"/>
    <w:rsid w:val="00FA6B5A"/>
    <w:rsid w:val="00FB46C7"/>
    <w:rsid w:val="00FB5A50"/>
    <w:rsid w:val="00FC7455"/>
    <w:rsid w:val="00FE2531"/>
    <w:rsid w:val="00FF0ACE"/>
    <w:rsid w:val="08C1658D"/>
    <w:rsid w:val="0ABF76C1"/>
    <w:rsid w:val="175D0593"/>
    <w:rsid w:val="19B117A7"/>
    <w:rsid w:val="19BFFD02"/>
    <w:rsid w:val="1FF94673"/>
    <w:rsid w:val="1FFB2F37"/>
    <w:rsid w:val="22E230A2"/>
    <w:rsid w:val="2B7FDD66"/>
    <w:rsid w:val="2B9F7D27"/>
    <w:rsid w:val="2DEF9D31"/>
    <w:rsid w:val="328120C3"/>
    <w:rsid w:val="3DBBBF5A"/>
    <w:rsid w:val="3EF6CC20"/>
    <w:rsid w:val="3FB708B8"/>
    <w:rsid w:val="44C816BA"/>
    <w:rsid w:val="4C390D85"/>
    <w:rsid w:val="4D8602C2"/>
    <w:rsid w:val="51F2ECBF"/>
    <w:rsid w:val="57386794"/>
    <w:rsid w:val="57A6230D"/>
    <w:rsid w:val="590E446F"/>
    <w:rsid w:val="5D2FAC07"/>
    <w:rsid w:val="5EA42C9D"/>
    <w:rsid w:val="5F3876D3"/>
    <w:rsid w:val="5F5BAF69"/>
    <w:rsid w:val="5FB23854"/>
    <w:rsid w:val="63DBBF29"/>
    <w:rsid w:val="65AB620C"/>
    <w:rsid w:val="66DF9FC9"/>
    <w:rsid w:val="699D50E9"/>
    <w:rsid w:val="6B6EB378"/>
    <w:rsid w:val="6BFD8E92"/>
    <w:rsid w:val="6DE79D71"/>
    <w:rsid w:val="73771D47"/>
    <w:rsid w:val="753D73FB"/>
    <w:rsid w:val="75DE7B87"/>
    <w:rsid w:val="76F52562"/>
    <w:rsid w:val="77AD1E95"/>
    <w:rsid w:val="77F17A55"/>
    <w:rsid w:val="77FB3424"/>
    <w:rsid w:val="79EF2A44"/>
    <w:rsid w:val="7DBF66F7"/>
    <w:rsid w:val="7DD93E4A"/>
    <w:rsid w:val="7DFD4B9C"/>
    <w:rsid w:val="7E9C032D"/>
    <w:rsid w:val="7F1F1223"/>
    <w:rsid w:val="7F3A3229"/>
    <w:rsid w:val="7F7EC958"/>
    <w:rsid w:val="7F9FC333"/>
    <w:rsid w:val="7FB9999F"/>
    <w:rsid w:val="7FBF09E9"/>
    <w:rsid w:val="7FF536AA"/>
    <w:rsid w:val="7FFF9128"/>
    <w:rsid w:val="80EBB326"/>
    <w:rsid w:val="9766A367"/>
    <w:rsid w:val="9D6DCDF5"/>
    <w:rsid w:val="9FDF6360"/>
    <w:rsid w:val="AEE3A561"/>
    <w:rsid w:val="B787B232"/>
    <w:rsid w:val="B7FF185B"/>
    <w:rsid w:val="B85F2B98"/>
    <w:rsid w:val="BBFC3CDB"/>
    <w:rsid w:val="BE9CFB3D"/>
    <w:rsid w:val="BF3F846B"/>
    <w:rsid w:val="BFDF7875"/>
    <w:rsid w:val="DCDFF852"/>
    <w:rsid w:val="DDED131B"/>
    <w:rsid w:val="DFFE41E6"/>
    <w:rsid w:val="E79D848D"/>
    <w:rsid w:val="E9FF56D6"/>
    <w:rsid w:val="F2DF14D0"/>
    <w:rsid w:val="F3F10CCB"/>
    <w:rsid w:val="FAEBF7C4"/>
    <w:rsid w:val="FBFFA760"/>
    <w:rsid w:val="FD778D47"/>
    <w:rsid w:val="FEFFE574"/>
    <w:rsid w:val="FF7F1FF0"/>
    <w:rsid w:val="FFAF25AA"/>
    <w:rsid w:val="FFDAF0B2"/>
    <w:rsid w:val="FFFA6D1C"/>
    <w:rsid w:val="FFFD82D6"/>
    <w:rsid w:val="FFFD9852"/>
    <w:rsid w:val="FFFFB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BD6A00"/>
  <w15:docId w15:val="{69F28BA3-EE7A-4827-B763-A92C44959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rFonts w:asciiTheme="minorHAnsi" w:eastAsiaTheme="minorEastAsia" w:hAnsiTheme="minorHAnsi" w:cstheme="minorBidi"/>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spacing w:line="240" w:lineRule="auto"/>
    </w:pPr>
    <w:rPr>
      <w:sz w:val="18"/>
      <w:szCs w:val="18"/>
    </w:rPr>
  </w:style>
  <w:style w:type="paragraph" w:styleId="a5">
    <w:name w:val="header"/>
    <w:basedOn w:val="a"/>
    <w:link w:val="a6"/>
    <w:uiPriority w:val="99"/>
    <w:unhideWhenUsed/>
    <w:qFormat/>
    <w:pPr>
      <w:tabs>
        <w:tab w:val="center" w:pos="4153"/>
        <w:tab w:val="right" w:pos="8306"/>
      </w:tabs>
      <w:snapToGrid w:val="0"/>
      <w:spacing w:line="240" w:lineRule="auto"/>
      <w:jc w:val="center"/>
    </w:pPr>
    <w:rPr>
      <w:sz w:val="18"/>
      <w:szCs w:val="18"/>
    </w:rPr>
  </w:style>
  <w:style w:type="paragraph" w:styleId="a7">
    <w:name w:val="Subtitle"/>
    <w:basedOn w:val="a"/>
    <w:next w:val="a"/>
    <w:link w:val="a8"/>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9">
    <w:name w:val="Normal (Web)"/>
    <w:basedOn w:val="a"/>
    <w:uiPriority w:val="99"/>
    <w:semiHidden/>
    <w:unhideWhenUsed/>
    <w:qFormat/>
    <w:pPr>
      <w:spacing w:beforeAutospacing="1" w:after="0" w:afterAutospacing="1"/>
    </w:pPr>
    <w:rPr>
      <w:rFonts w:cs="Times New Roman"/>
      <w:kern w:val="0"/>
      <w:sz w:val="24"/>
    </w:rPr>
  </w:style>
  <w:style w:type="paragraph" w:styleId="aa">
    <w:name w:val="Title"/>
    <w:basedOn w:val="a"/>
    <w:next w:val="a"/>
    <w:link w:val="ab"/>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Pr>
      <w:b/>
    </w:rPr>
  </w:style>
  <w:style w:type="character" w:styleId="ae">
    <w:name w:val="Hyperlink"/>
    <w:basedOn w:val="a0"/>
    <w:uiPriority w:val="99"/>
    <w:semiHidden/>
    <w:unhideWhenUsed/>
    <w:rPr>
      <w:color w:val="0000FF"/>
      <w:u w:val="single"/>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f">
    <w:name w:val="Quote"/>
    <w:basedOn w:val="a"/>
    <w:next w:val="a"/>
    <w:link w:val="af0"/>
    <w:uiPriority w:val="29"/>
    <w:qFormat/>
    <w:pPr>
      <w:spacing w:before="160"/>
      <w:jc w:val="center"/>
    </w:pPr>
    <w:rPr>
      <w:i/>
      <w:iCs/>
      <w:color w:val="404040" w:themeColor="text1" w:themeTint="BF"/>
    </w:rPr>
  </w:style>
  <w:style w:type="character" w:customStyle="1" w:styleId="af0">
    <w:name w:val="引用 字符"/>
    <w:basedOn w:val="a0"/>
    <w:link w:val="af"/>
    <w:uiPriority w:val="29"/>
    <w:qFormat/>
    <w:rPr>
      <w:i/>
      <w:iCs/>
      <w:color w:val="404040" w:themeColor="text1" w:themeTint="BF"/>
    </w:rPr>
  </w:style>
  <w:style w:type="paragraph" w:styleId="af1">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2">
    <w:name w:val="Intense Quote"/>
    <w:basedOn w:val="a"/>
    <w:next w:val="a"/>
    <w:link w:val="af3"/>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3">
    <w:name w:val="明显引用 字符"/>
    <w:basedOn w:val="a0"/>
    <w:link w:val="af2"/>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CF9A797B-60C9-4B3B-8C0C-AB2845606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621</Words>
  <Characters>3543</Characters>
  <Application>Microsoft Office Word</Application>
  <DocSecurity>0</DocSecurity>
  <Lines>29</Lines>
  <Paragraphs>8</Paragraphs>
  <ScaleCrop>false</ScaleCrop>
  <Company/>
  <LinksUpToDate>false</LinksUpToDate>
  <CharactersWithSpaces>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潘滢玥</dc:creator>
  <cp:lastModifiedBy>刘旺</cp:lastModifiedBy>
  <cp:revision>4</cp:revision>
  <dcterms:created xsi:type="dcterms:W3CDTF">2025-01-14T18:52:00Z</dcterms:created>
  <dcterms:modified xsi:type="dcterms:W3CDTF">2026-09-22T08:00:00Z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26C4C1B2C64A61142AABA76AC5963B8F_43</vt:lpwstr>
  </property>
  <property fmtid="{D5CDD505-2E9C-101B-9397-08002B2CF9AE}" pid="4" name="KSOTemplateDocerSaveRecord">
    <vt:lpwstr>eyJoZGlkIjoiYTczNGZkOTUwZWQ2YzAxMjAxYWRmN2M3YTgzMjk3M2EiLCJ1c2VySWQiOiIxNzY2NzczMTQ1In0=</vt:lpwstr>
  </property>
</Properties>
</file>