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0CAE8">
      <w:pPr>
        <w:jc w:val="center"/>
        <w:rPr>
          <w:rFonts w:hint="default" w:asciiTheme="majorEastAsia" w:hAnsiTheme="majorEastAsia" w:eastAsiaTheme="majorEastAsia"/>
          <w:sz w:val="24"/>
          <w:szCs w:val="24"/>
          <w:lang w:val="en-US" w:eastAsia="zh-CN"/>
        </w:rPr>
      </w:pPr>
      <w:r>
        <w:rPr>
          <w:rFonts w:hint="eastAsia" w:asciiTheme="majorEastAsia" w:hAnsiTheme="majorEastAsia" w:eastAsiaTheme="majorEastAsia"/>
          <w:sz w:val="24"/>
          <w:szCs w:val="24"/>
        </w:rPr>
        <w:t>证券代码：</w:t>
      </w:r>
      <w:r>
        <w:rPr>
          <w:rFonts w:hint="default" w:ascii="Times New Roman" w:hAnsi="Times New Roman" w:cs="Times New Roman" w:eastAsiaTheme="majorEastAsia"/>
          <w:sz w:val="24"/>
          <w:szCs w:val="24"/>
        </w:rPr>
        <w:t>60</w:t>
      </w:r>
      <w:r>
        <w:rPr>
          <w:rFonts w:hint="default" w:ascii="Times New Roman" w:hAnsi="Times New Roman" w:cs="Times New Roman" w:eastAsiaTheme="majorEastAsia"/>
          <w:sz w:val="24"/>
          <w:szCs w:val="24"/>
          <w:lang w:val="en-US" w:eastAsia="zh-CN"/>
        </w:rPr>
        <w:t>1007</w:t>
      </w:r>
      <w:r>
        <w:rPr>
          <w:rFonts w:hint="eastAsia" w:asciiTheme="majorEastAsia" w:hAnsiTheme="majorEastAsia" w:eastAsiaTheme="majorEastAsia"/>
          <w:sz w:val="24"/>
          <w:szCs w:val="24"/>
        </w:rPr>
        <w:t xml:space="preserve">            </w:t>
      </w:r>
      <w:r>
        <w:rPr>
          <w:rFonts w:hint="eastAsia" w:asciiTheme="majorEastAsia" w:hAnsiTheme="majorEastAsia" w:eastAsiaTheme="majorEastAsia"/>
          <w:sz w:val="24"/>
          <w:szCs w:val="24"/>
          <w:lang w:val="en-US" w:eastAsia="zh-CN"/>
        </w:rPr>
        <w:t xml:space="preserve">          </w:t>
      </w:r>
      <w:r>
        <w:rPr>
          <w:rFonts w:hint="eastAsia" w:asciiTheme="majorEastAsia" w:hAnsiTheme="majorEastAsia" w:eastAsiaTheme="majorEastAsia"/>
          <w:sz w:val="24"/>
          <w:szCs w:val="24"/>
        </w:rPr>
        <w:t xml:space="preserve">          证券简称：</w:t>
      </w:r>
      <w:r>
        <w:rPr>
          <w:rFonts w:hint="eastAsia" w:asciiTheme="majorEastAsia" w:hAnsiTheme="majorEastAsia" w:eastAsiaTheme="majorEastAsia"/>
          <w:sz w:val="24"/>
          <w:szCs w:val="24"/>
          <w:lang w:val="en-US" w:eastAsia="zh-CN"/>
        </w:rPr>
        <w:t>金陵饭店</w:t>
      </w:r>
    </w:p>
    <w:p w14:paraId="3F4C058A">
      <w:pPr>
        <w:jc w:val="center"/>
        <w:rPr>
          <w:rFonts w:asciiTheme="majorEastAsia" w:hAnsiTheme="majorEastAsia" w:eastAsiaTheme="majorEastAsia"/>
          <w:b/>
          <w:sz w:val="30"/>
          <w:szCs w:val="30"/>
        </w:rPr>
      </w:pPr>
      <w:r>
        <w:rPr>
          <w:rFonts w:hint="eastAsia" w:asciiTheme="majorEastAsia" w:hAnsiTheme="majorEastAsia" w:eastAsiaTheme="majorEastAsia"/>
          <w:b/>
          <w:sz w:val="30"/>
          <w:szCs w:val="30"/>
          <w:lang w:val="en-US" w:eastAsia="zh-CN"/>
        </w:rPr>
        <w:t>金陵饭店</w:t>
      </w:r>
      <w:r>
        <w:rPr>
          <w:rFonts w:hint="eastAsia" w:asciiTheme="majorEastAsia" w:hAnsiTheme="majorEastAsia" w:eastAsiaTheme="majorEastAsia"/>
          <w:b/>
          <w:sz w:val="30"/>
          <w:szCs w:val="30"/>
        </w:rPr>
        <w:t>股份有限公司</w:t>
      </w:r>
    </w:p>
    <w:p w14:paraId="7BA5AD5A">
      <w:pPr>
        <w:jc w:val="center"/>
        <w:rPr>
          <w:rFonts w:asciiTheme="majorEastAsia" w:hAnsiTheme="majorEastAsia" w:eastAsiaTheme="majorEastAsia"/>
          <w:b/>
          <w:sz w:val="30"/>
          <w:szCs w:val="30"/>
        </w:rPr>
      </w:pPr>
      <w:r>
        <w:rPr>
          <w:rFonts w:hint="eastAsia" w:asciiTheme="majorEastAsia" w:hAnsiTheme="majorEastAsia" w:eastAsiaTheme="majorEastAsia"/>
          <w:b/>
          <w:sz w:val="30"/>
          <w:szCs w:val="30"/>
        </w:rPr>
        <w:t>投资者关系活动记录表</w:t>
      </w:r>
    </w:p>
    <w:tbl>
      <w:tblPr>
        <w:tblStyle w:val="7"/>
        <w:tblW w:w="8989" w:type="dxa"/>
        <w:tblInd w:w="-23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469"/>
        <w:gridCol w:w="6520"/>
      </w:tblGrid>
      <w:tr w14:paraId="105798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56" w:hRule="atLeast"/>
        </w:trPr>
        <w:tc>
          <w:tcPr>
            <w:tcW w:w="2469" w:type="dxa"/>
            <w:vAlign w:val="center"/>
          </w:tcPr>
          <w:p w14:paraId="46564C92">
            <w:pPr>
              <w:keepNext w:val="0"/>
              <w:keepLines w:val="0"/>
              <w:pageBreakBefore w:val="0"/>
              <w:widowControl w:val="0"/>
              <w:kinsoku/>
              <w:wordWrap/>
              <w:overflowPunct/>
              <w:topLinePunct w:val="0"/>
              <w:autoSpaceDE/>
              <w:autoSpaceDN/>
              <w:bidi w:val="0"/>
              <w:adjustRightInd/>
              <w:snapToGrid/>
              <w:ind w:right="0"/>
              <w:jc w:val="center"/>
              <w:textAlignment w:val="auto"/>
              <w:rPr>
                <w:rFonts w:asciiTheme="minorEastAsia" w:hAnsiTheme="minorEastAsia"/>
                <w:b/>
                <w:sz w:val="24"/>
                <w:szCs w:val="21"/>
              </w:rPr>
            </w:pPr>
            <w:r>
              <w:rPr>
                <w:rFonts w:hint="eastAsia" w:asciiTheme="minorEastAsia" w:hAnsiTheme="minorEastAsia"/>
                <w:b/>
                <w:sz w:val="24"/>
                <w:szCs w:val="21"/>
              </w:rPr>
              <w:t>投资者活动</w:t>
            </w:r>
          </w:p>
          <w:p w14:paraId="7C27D5BF">
            <w:pPr>
              <w:keepNext w:val="0"/>
              <w:keepLines w:val="0"/>
              <w:pageBreakBefore w:val="0"/>
              <w:widowControl w:val="0"/>
              <w:kinsoku/>
              <w:wordWrap/>
              <w:overflowPunct/>
              <w:topLinePunct w:val="0"/>
              <w:autoSpaceDE/>
              <w:autoSpaceDN/>
              <w:bidi w:val="0"/>
              <w:adjustRightInd/>
              <w:snapToGrid/>
              <w:ind w:right="0"/>
              <w:jc w:val="center"/>
              <w:textAlignment w:val="auto"/>
              <w:rPr>
                <w:rFonts w:asciiTheme="minorEastAsia" w:hAnsiTheme="minorEastAsia"/>
                <w:b/>
                <w:sz w:val="24"/>
                <w:szCs w:val="21"/>
              </w:rPr>
            </w:pPr>
            <w:r>
              <w:rPr>
                <w:rFonts w:hint="eastAsia" w:asciiTheme="minorEastAsia" w:hAnsiTheme="minorEastAsia"/>
                <w:b/>
                <w:sz w:val="24"/>
                <w:szCs w:val="21"/>
              </w:rPr>
              <w:t>类型</w:t>
            </w:r>
          </w:p>
        </w:tc>
        <w:tc>
          <w:tcPr>
            <w:tcW w:w="6520" w:type="dxa"/>
          </w:tcPr>
          <w:p w14:paraId="2E0AB282">
            <w:pPr>
              <w:spacing w:line="276" w:lineRule="auto"/>
              <w:ind w:right="315" w:firstLine="1260" w:firstLineChars="600"/>
              <w:jc w:val="left"/>
              <w:rPr>
                <w:rFonts w:asciiTheme="minorEastAsia" w:hAnsiTheme="minorEastAsia"/>
                <w:szCs w:val="21"/>
              </w:rPr>
            </w:pPr>
            <w:r>
              <w:rPr>
                <w:rFonts w:hint="eastAsia" w:asciiTheme="minorEastAsia" w:hAnsiTheme="minorEastAsia"/>
                <w:szCs w:val="21"/>
              </w:rPr>
              <w:sym w:font="Wingdings 2" w:char="00A3"/>
            </w:r>
            <w:r>
              <w:rPr>
                <w:rFonts w:hint="eastAsia" w:asciiTheme="minorEastAsia" w:hAnsiTheme="minorEastAsia"/>
                <w:szCs w:val="21"/>
              </w:rPr>
              <w:t xml:space="preserve"> 特定对象调研        □分析师会议</w:t>
            </w:r>
          </w:p>
          <w:p w14:paraId="2FDEE66C">
            <w:pPr>
              <w:spacing w:line="276" w:lineRule="auto"/>
              <w:ind w:right="315" w:firstLine="1260" w:firstLineChars="600"/>
              <w:jc w:val="left"/>
              <w:rPr>
                <w:rFonts w:asciiTheme="minorEastAsia" w:hAnsiTheme="minorEastAsia"/>
                <w:szCs w:val="21"/>
              </w:rPr>
            </w:pPr>
            <w:r>
              <w:rPr>
                <w:rFonts w:hint="eastAsia" w:asciiTheme="minorEastAsia" w:hAnsiTheme="minorEastAsia"/>
                <w:szCs w:val="21"/>
              </w:rPr>
              <w:sym w:font="Wingdings 2" w:char="00A3"/>
            </w:r>
            <w:r>
              <w:rPr>
                <w:rFonts w:hint="eastAsia" w:asciiTheme="minorEastAsia" w:hAnsiTheme="minorEastAsia"/>
                <w:szCs w:val="21"/>
              </w:rPr>
              <w:t xml:space="preserve"> 一对一沟通          √业绩说明会</w:t>
            </w:r>
          </w:p>
          <w:p w14:paraId="3C505A5B">
            <w:pPr>
              <w:spacing w:line="276" w:lineRule="auto"/>
              <w:ind w:right="315" w:firstLine="1260" w:firstLineChars="600"/>
              <w:jc w:val="left"/>
              <w:rPr>
                <w:rFonts w:asciiTheme="minorEastAsia" w:hAnsiTheme="minorEastAsia"/>
                <w:szCs w:val="21"/>
              </w:rPr>
            </w:pPr>
            <w:r>
              <w:rPr>
                <w:rFonts w:hint="eastAsia" w:asciiTheme="minorEastAsia" w:hAnsiTheme="minorEastAsia"/>
                <w:szCs w:val="21"/>
              </w:rPr>
              <w:t xml:space="preserve">□ 媒体采访            </w:t>
            </w:r>
            <w:r>
              <w:rPr>
                <w:rFonts w:hint="eastAsia" w:asciiTheme="minorEastAsia" w:hAnsiTheme="minorEastAsia"/>
                <w:szCs w:val="21"/>
              </w:rPr>
              <w:sym w:font="Wingdings 2" w:char="00A3"/>
            </w:r>
            <w:r>
              <w:rPr>
                <w:rFonts w:hint="eastAsia" w:asciiTheme="minorEastAsia" w:hAnsiTheme="minorEastAsia"/>
                <w:szCs w:val="21"/>
              </w:rPr>
              <w:t>现场参观</w:t>
            </w:r>
          </w:p>
          <w:p w14:paraId="434DBFBD">
            <w:pPr>
              <w:spacing w:line="276" w:lineRule="auto"/>
              <w:ind w:right="315" w:firstLine="1260" w:firstLineChars="600"/>
              <w:jc w:val="left"/>
              <w:rPr>
                <w:rFonts w:asciiTheme="minorEastAsia" w:hAnsiTheme="minorEastAsia"/>
                <w:szCs w:val="21"/>
              </w:rPr>
            </w:pPr>
            <w:r>
              <w:rPr>
                <w:rFonts w:hint="eastAsia" w:asciiTheme="minorEastAsia" w:hAnsiTheme="minorEastAsia"/>
                <w:szCs w:val="21"/>
              </w:rPr>
              <w:t>□ 新闻发布会          □ 其他_______</w:t>
            </w:r>
          </w:p>
        </w:tc>
      </w:tr>
      <w:tr w14:paraId="072901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26" w:hRule="atLeast"/>
        </w:trPr>
        <w:tc>
          <w:tcPr>
            <w:tcW w:w="2469" w:type="dxa"/>
            <w:vAlign w:val="center"/>
          </w:tcPr>
          <w:p w14:paraId="446116C7">
            <w:pPr>
              <w:keepNext w:val="0"/>
              <w:keepLines w:val="0"/>
              <w:pageBreakBefore w:val="0"/>
              <w:widowControl w:val="0"/>
              <w:kinsoku/>
              <w:wordWrap/>
              <w:overflowPunct/>
              <w:topLinePunct w:val="0"/>
              <w:autoSpaceDE/>
              <w:autoSpaceDN/>
              <w:bidi w:val="0"/>
              <w:adjustRightInd/>
              <w:snapToGrid/>
              <w:ind w:right="0"/>
              <w:jc w:val="center"/>
              <w:textAlignment w:val="auto"/>
              <w:rPr>
                <w:rFonts w:asciiTheme="minorEastAsia" w:hAnsiTheme="minorEastAsia"/>
                <w:b/>
                <w:sz w:val="24"/>
                <w:szCs w:val="21"/>
              </w:rPr>
            </w:pPr>
            <w:r>
              <w:rPr>
                <w:rFonts w:hint="eastAsia" w:asciiTheme="minorEastAsia" w:hAnsiTheme="minorEastAsia"/>
                <w:b/>
                <w:sz w:val="24"/>
                <w:szCs w:val="21"/>
              </w:rPr>
              <w:t>来访单位及</w:t>
            </w:r>
          </w:p>
          <w:p w14:paraId="6EB76372">
            <w:pPr>
              <w:keepNext w:val="0"/>
              <w:keepLines w:val="0"/>
              <w:pageBreakBefore w:val="0"/>
              <w:widowControl w:val="0"/>
              <w:kinsoku/>
              <w:wordWrap/>
              <w:overflowPunct/>
              <w:topLinePunct w:val="0"/>
              <w:autoSpaceDE/>
              <w:autoSpaceDN/>
              <w:bidi w:val="0"/>
              <w:adjustRightInd/>
              <w:snapToGrid/>
              <w:ind w:right="0"/>
              <w:jc w:val="center"/>
              <w:textAlignment w:val="auto"/>
              <w:rPr>
                <w:rFonts w:asciiTheme="minorEastAsia" w:hAnsiTheme="minorEastAsia"/>
                <w:b/>
                <w:sz w:val="24"/>
                <w:szCs w:val="21"/>
              </w:rPr>
            </w:pPr>
            <w:r>
              <w:rPr>
                <w:rFonts w:hint="eastAsia" w:asciiTheme="minorEastAsia" w:hAnsiTheme="minorEastAsia"/>
                <w:b/>
                <w:sz w:val="24"/>
                <w:szCs w:val="21"/>
              </w:rPr>
              <w:t>人员基本信息</w:t>
            </w:r>
          </w:p>
        </w:tc>
        <w:tc>
          <w:tcPr>
            <w:tcW w:w="6520" w:type="dxa"/>
            <w:vAlign w:val="center"/>
          </w:tcPr>
          <w:p w14:paraId="789108EA">
            <w:pPr>
              <w:tabs>
                <w:tab w:val="center" w:pos="2798"/>
              </w:tabs>
              <w:spacing w:line="276" w:lineRule="auto"/>
              <w:jc w:val="center"/>
              <w:rPr>
                <w:rFonts w:hint="default" w:ascii="Times New Roman" w:hAnsi="Times New Roman" w:cs="Times New Roman"/>
                <w:bCs/>
                <w:iCs/>
                <w:szCs w:val="21"/>
              </w:rPr>
            </w:pPr>
            <w:r>
              <w:rPr>
                <w:rFonts w:hint="default" w:ascii="Times New Roman" w:hAnsi="Times New Roman" w:cs="Times New Roman"/>
                <w:bCs/>
                <w:iCs/>
                <w:szCs w:val="21"/>
              </w:rPr>
              <w:t>投资者与公司通过网络进行文字互动交流</w:t>
            </w:r>
          </w:p>
        </w:tc>
      </w:tr>
      <w:tr w14:paraId="7FE7FB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trPr>
        <w:tc>
          <w:tcPr>
            <w:tcW w:w="2469" w:type="dxa"/>
            <w:vAlign w:val="center"/>
          </w:tcPr>
          <w:p w14:paraId="7CC13E27">
            <w:pPr>
              <w:keepNext w:val="0"/>
              <w:keepLines w:val="0"/>
              <w:pageBreakBefore w:val="0"/>
              <w:widowControl w:val="0"/>
              <w:kinsoku/>
              <w:wordWrap/>
              <w:overflowPunct/>
              <w:topLinePunct w:val="0"/>
              <w:autoSpaceDE/>
              <w:autoSpaceDN/>
              <w:bidi w:val="0"/>
              <w:adjustRightInd/>
              <w:snapToGrid/>
              <w:ind w:right="0"/>
              <w:jc w:val="center"/>
              <w:textAlignment w:val="auto"/>
              <w:rPr>
                <w:rFonts w:asciiTheme="minorEastAsia" w:hAnsiTheme="minorEastAsia"/>
                <w:b/>
                <w:sz w:val="24"/>
                <w:szCs w:val="21"/>
              </w:rPr>
            </w:pPr>
            <w:r>
              <w:rPr>
                <w:rFonts w:hint="eastAsia" w:asciiTheme="minorEastAsia" w:hAnsiTheme="minorEastAsia"/>
                <w:b/>
                <w:sz w:val="24"/>
                <w:szCs w:val="21"/>
              </w:rPr>
              <w:t>时间</w:t>
            </w:r>
          </w:p>
        </w:tc>
        <w:tc>
          <w:tcPr>
            <w:tcW w:w="6520" w:type="dxa"/>
            <w:vAlign w:val="center"/>
          </w:tcPr>
          <w:p w14:paraId="02587DC3">
            <w:pPr>
              <w:tabs>
                <w:tab w:val="center" w:pos="2798"/>
              </w:tabs>
              <w:spacing w:line="276" w:lineRule="auto"/>
              <w:jc w:val="center"/>
              <w:rPr>
                <w:rFonts w:hint="default" w:ascii="Times New Roman" w:hAnsi="Times New Roman" w:cs="Times New Roman"/>
                <w:szCs w:val="21"/>
              </w:rPr>
            </w:pPr>
            <w:r>
              <w:rPr>
                <w:rFonts w:hint="default" w:ascii="Times New Roman" w:hAnsi="Times New Roman" w:cs="Times New Roman"/>
                <w:bCs/>
                <w:iCs/>
                <w:szCs w:val="21"/>
              </w:rPr>
              <w:t>202</w:t>
            </w:r>
            <w:r>
              <w:rPr>
                <w:rFonts w:hint="eastAsia" w:ascii="Times New Roman" w:hAnsi="Times New Roman" w:cs="Times New Roman"/>
                <w:bCs/>
                <w:iCs/>
                <w:szCs w:val="21"/>
                <w:lang w:val="en-US" w:eastAsia="zh-CN"/>
              </w:rPr>
              <w:t>6</w:t>
            </w:r>
            <w:r>
              <w:rPr>
                <w:rFonts w:hint="default" w:ascii="Times New Roman" w:hAnsi="Times New Roman" w:cs="Times New Roman"/>
                <w:bCs/>
                <w:iCs/>
                <w:szCs w:val="21"/>
              </w:rPr>
              <w:t>年</w:t>
            </w:r>
            <w:r>
              <w:rPr>
                <w:rFonts w:hint="eastAsia" w:ascii="Times New Roman" w:hAnsi="Times New Roman" w:cs="Times New Roman"/>
                <w:bCs/>
                <w:iCs/>
                <w:szCs w:val="21"/>
                <w:lang w:val="en-US" w:eastAsia="zh-CN"/>
              </w:rPr>
              <w:t>9</w:t>
            </w:r>
            <w:r>
              <w:rPr>
                <w:rFonts w:hint="default" w:ascii="Times New Roman" w:hAnsi="Times New Roman" w:cs="Times New Roman"/>
                <w:bCs/>
                <w:iCs/>
                <w:szCs w:val="21"/>
              </w:rPr>
              <w:t>月</w:t>
            </w:r>
            <w:r>
              <w:rPr>
                <w:rFonts w:hint="eastAsia" w:ascii="Times New Roman" w:hAnsi="Times New Roman" w:cs="Times New Roman"/>
                <w:bCs/>
                <w:iCs/>
                <w:szCs w:val="21"/>
                <w:lang w:val="en-US" w:eastAsia="zh-CN"/>
              </w:rPr>
              <w:t>22</w:t>
            </w:r>
            <w:r>
              <w:rPr>
                <w:rFonts w:hint="default" w:ascii="Times New Roman" w:hAnsi="Times New Roman" w:cs="Times New Roman"/>
                <w:bCs/>
                <w:iCs/>
                <w:szCs w:val="21"/>
              </w:rPr>
              <w:t xml:space="preserve">日 </w:t>
            </w:r>
            <w:r>
              <w:rPr>
                <w:rFonts w:hint="default" w:ascii="Times New Roman" w:hAnsi="Times New Roman" w:cs="Times New Roman"/>
                <w:bCs/>
                <w:iCs/>
                <w:szCs w:val="21"/>
                <w:lang w:val="en-US" w:eastAsia="zh-CN"/>
              </w:rPr>
              <w:t>1</w:t>
            </w:r>
            <w:r>
              <w:rPr>
                <w:rFonts w:hint="eastAsia" w:ascii="Times New Roman" w:hAnsi="Times New Roman" w:cs="Times New Roman"/>
                <w:bCs/>
                <w:iCs/>
                <w:szCs w:val="21"/>
                <w:lang w:val="en-US" w:eastAsia="zh-CN"/>
              </w:rPr>
              <w:t>1</w:t>
            </w:r>
            <w:r>
              <w:rPr>
                <w:rFonts w:hint="default" w:ascii="Times New Roman" w:hAnsi="Times New Roman" w:cs="Times New Roman"/>
                <w:bCs/>
                <w:iCs/>
                <w:szCs w:val="21"/>
              </w:rPr>
              <w:t>:</w:t>
            </w:r>
            <w:r>
              <w:rPr>
                <w:rFonts w:hint="eastAsia" w:ascii="Times New Roman" w:hAnsi="Times New Roman" w:cs="Times New Roman"/>
                <w:bCs/>
                <w:iCs/>
                <w:szCs w:val="21"/>
                <w:lang w:val="en-US" w:eastAsia="zh-CN"/>
              </w:rPr>
              <w:t>0</w:t>
            </w:r>
            <w:r>
              <w:rPr>
                <w:rFonts w:hint="default" w:ascii="Times New Roman" w:hAnsi="Times New Roman" w:cs="Times New Roman"/>
                <w:bCs/>
                <w:iCs/>
                <w:szCs w:val="21"/>
              </w:rPr>
              <w:t>0-1</w:t>
            </w:r>
            <w:r>
              <w:rPr>
                <w:rFonts w:hint="eastAsia" w:ascii="Times New Roman" w:hAnsi="Times New Roman" w:cs="Times New Roman"/>
                <w:bCs/>
                <w:iCs/>
                <w:szCs w:val="21"/>
                <w:lang w:val="en-US" w:eastAsia="zh-CN"/>
              </w:rPr>
              <w:t>2</w:t>
            </w:r>
            <w:r>
              <w:rPr>
                <w:rFonts w:hint="default" w:ascii="Times New Roman" w:hAnsi="Times New Roman" w:cs="Times New Roman"/>
                <w:bCs/>
                <w:iCs/>
                <w:szCs w:val="21"/>
              </w:rPr>
              <w:t>:</w:t>
            </w:r>
            <w:r>
              <w:rPr>
                <w:rFonts w:hint="eastAsia" w:ascii="Times New Roman" w:hAnsi="Times New Roman" w:cs="Times New Roman"/>
                <w:bCs/>
                <w:iCs/>
                <w:szCs w:val="21"/>
                <w:lang w:val="en-US" w:eastAsia="zh-CN"/>
              </w:rPr>
              <w:t>0</w:t>
            </w:r>
            <w:r>
              <w:rPr>
                <w:rFonts w:hint="default" w:ascii="Times New Roman" w:hAnsi="Times New Roman" w:cs="Times New Roman"/>
                <w:bCs/>
                <w:iCs/>
                <w:szCs w:val="21"/>
              </w:rPr>
              <w:t>0</w:t>
            </w:r>
          </w:p>
        </w:tc>
      </w:tr>
      <w:tr w14:paraId="6A7EC6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6" w:hRule="atLeast"/>
        </w:trPr>
        <w:tc>
          <w:tcPr>
            <w:tcW w:w="2469" w:type="dxa"/>
            <w:vAlign w:val="center"/>
          </w:tcPr>
          <w:p w14:paraId="78E6A049">
            <w:pPr>
              <w:keepNext w:val="0"/>
              <w:keepLines w:val="0"/>
              <w:pageBreakBefore w:val="0"/>
              <w:widowControl w:val="0"/>
              <w:kinsoku/>
              <w:wordWrap/>
              <w:overflowPunct/>
              <w:topLinePunct w:val="0"/>
              <w:autoSpaceDE/>
              <w:autoSpaceDN/>
              <w:bidi w:val="0"/>
              <w:adjustRightInd/>
              <w:snapToGrid/>
              <w:ind w:right="0"/>
              <w:jc w:val="center"/>
              <w:textAlignment w:val="auto"/>
              <w:rPr>
                <w:rFonts w:asciiTheme="minorEastAsia" w:hAnsiTheme="minorEastAsia"/>
                <w:b/>
                <w:sz w:val="24"/>
                <w:szCs w:val="21"/>
              </w:rPr>
            </w:pPr>
            <w:r>
              <w:rPr>
                <w:rFonts w:hint="eastAsia" w:asciiTheme="minorEastAsia" w:hAnsiTheme="minorEastAsia"/>
                <w:b/>
                <w:sz w:val="24"/>
                <w:szCs w:val="21"/>
              </w:rPr>
              <w:t>地点</w:t>
            </w:r>
            <w:r>
              <w:rPr>
                <w:rFonts w:hint="eastAsia" w:asciiTheme="minorEastAsia" w:hAnsiTheme="minorEastAsia"/>
                <w:b/>
                <w:sz w:val="24"/>
                <w:szCs w:val="21"/>
                <w:lang w:val="en-US" w:eastAsia="zh-CN"/>
              </w:rPr>
              <w:t>及形式</w:t>
            </w:r>
          </w:p>
        </w:tc>
        <w:tc>
          <w:tcPr>
            <w:tcW w:w="6520" w:type="dxa"/>
            <w:tcBorders>
              <w:top w:val="nil"/>
            </w:tcBorders>
            <w:vAlign w:val="center"/>
          </w:tcPr>
          <w:p w14:paraId="7A7536EF">
            <w:pPr>
              <w:spacing w:line="276" w:lineRule="auto"/>
              <w:ind w:right="315"/>
              <w:jc w:val="center"/>
              <w:rPr>
                <w:rFonts w:hint="default" w:ascii="Times New Roman" w:hAnsi="Times New Roman" w:cs="Times New Roman"/>
                <w:szCs w:val="21"/>
              </w:rPr>
            </w:pPr>
            <w:r>
              <w:rPr>
                <w:rFonts w:hint="default" w:ascii="Times New Roman" w:hAnsi="Times New Roman" w:cs="Times New Roman"/>
                <w:szCs w:val="21"/>
              </w:rPr>
              <w:t>上海证券交易所上证路演中心（http://roadshow.sseinfo.com/）</w:t>
            </w:r>
          </w:p>
          <w:p w14:paraId="68542B00">
            <w:pPr>
              <w:spacing w:line="276" w:lineRule="auto"/>
              <w:ind w:right="315"/>
              <w:jc w:val="center"/>
              <w:rPr>
                <w:rFonts w:hint="default" w:ascii="Times New Roman" w:hAnsi="Times New Roman" w:cs="Times New Roman"/>
                <w:szCs w:val="21"/>
              </w:rPr>
            </w:pPr>
            <w:r>
              <w:rPr>
                <w:rFonts w:hint="default" w:ascii="Times New Roman" w:hAnsi="Times New Roman" w:cs="Times New Roman"/>
                <w:szCs w:val="21"/>
              </w:rPr>
              <w:t>网络文字互动</w:t>
            </w:r>
          </w:p>
        </w:tc>
      </w:tr>
      <w:tr w14:paraId="7BDE21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9" w:hRule="atLeast"/>
        </w:trPr>
        <w:tc>
          <w:tcPr>
            <w:tcW w:w="2469" w:type="dxa"/>
            <w:vAlign w:val="center"/>
          </w:tcPr>
          <w:p w14:paraId="62B37057">
            <w:pPr>
              <w:keepNext w:val="0"/>
              <w:keepLines w:val="0"/>
              <w:pageBreakBefore w:val="0"/>
              <w:widowControl w:val="0"/>
              <w:kinsoku/>
              <w:wordWrap/>
              <w:overflowPunct/>
              <w:topLinePunct w:val="0"/>
              <w:autoSpaceDE/>
              <w:autoSpaceDN/>
              <w:bidi w:val="0"/>
              <w:adjustRightInd/>
              <w:snapToGrid/>
              <w:ind w:right="0"/>
              <w:jc w:val="center"/>
              <w:textAlignment w:val="auto"/>
              <w:rPr>
                <w:rFonts w:asciiTheme="minorEastAsia" w:hAnsiTheme="minorEastAsia"/>
                <w:b/>
                <w:sz w:val="24"/>
                <w:szCs w:val="21"/>
              </w:rPr>
            </w:pPr>
            <w:r>
              <w:rPr>
                <w:rFonts w:hint="eastAsia" w:asciiTheme="minorEastAsia" w:hAnsiTheme="minorEastAsia"/>
                <w:b/>
                <w:sz w:val="24"/>
                <w:szCs w:val="21"/>
              </w:rPr>
              <w:t>上市公司参加人员</w:t>
            </w:r>
          </w:p>
        </w:tc>
        <w:tc>
          <w:tcPr>
            <w:tcW w:w="6520" w:type="dxa"/>
            <w:vAlign w:val="center"/>
          </w:tcPr>
          <w:p w14:paraId="24674601">
            <w:pPr>
              <w:spacing w:line="276" w:lineRule="auto"/>
              <w:jc w:val="center"/>
              <w:rPr>
                <w:rFonts w:hint="default" w:ascii="Times New Roman" w:hAnsi="Times New Roman" w:cs="Times New Roman"/>
                <w:bCs/>
                <w:iCs/>
                <w:szCs w:val="21"/>
                <w:lang w:val="en-US" w:eastAsia="zh-CN"/>
              </w:rPr>
            </w:pPr>
            <w:r>
              <w:rPr>
                <w:rFonts w:hint="default" w:ascii="Times New Roman" w:hAnsi="Times New Roman" w:cs="Times New Roman"/>
                <w:bCs/>
                <w:iCs/>
                <w:szCs w:val="21"/>
                <w:lang w:val="en-US" w:eastAsia="zh-CN"/>
              </w:rPr>
              <w:t>董事长：张胜新</w:t>
            </w:r>
            <w:r>
              <w:rPr>
                <w:rFonts w:hint="eastAsia" w:ascii="Times New Roman" w:hAnsi="Times New Roman" w:cs="Times New Roman"/>
                <w:bCs/>
                <w:iCs/>
                <w:szCs w:val="21"/>
                <w:lang w:val="en-US" w:eastAsia="zh-CN"/>
              </w:rPr>
              <w:t>先生</w:t>
            </w:r>
          </w:p>
          <w:p w14:paraId="4B0E3CCF">
            <w:pPr>
              <w:spacing w:line="276" w:lineRule="auto"/>
              <w:jc w:val="center"/>
              <w:rPr>
                <w:rFonts w:hint="default" w:ascii="Times New Roman" w:hAnsi="Times New Roman" w:cs="Times New Roman"/>
                <w:bCs/>
                <w:iCs/>
                <w:szCs w:val="21"/>
                <w:lang w:val="en-US" w:eastAsia="zh-CN"/>
              </w:rPr>
            </w:pPr>
            <w:r>
              <w:rPr>
                <w:rFonts w:hint="default" w:ascii="Times New Roman" w:hAnsi="Times New Roman" w:cs="Times New Roman"/>
                <w:bCs/>
                <w:iCs/>
                <w:szCs w:val="21"/>
                <w:lang w:val="en-US" w:eastAsia="zh-CN"/>
              </w:rPr>
              <w:t>董事、总经理：周蕾</w:t>
            </w:r>
            <w:r>
              <w:rPr>
                <w:rFonts w:hint="eastAsia" w:ascii="Times New Roman" w:hAnsi="Times New Roman" w:cs="Times New Roman"/>
                <w:bCs/>
                <w:iCs/>
                <w:szCs w:val="21"/>
                <w:lang w:val="en-US" w:eastAsia="zh-CN"/>
              </w:rPr>
              <w:t>女士</w:t>
            </w:r>
          </w:p>
          <w:p w14:paraId="12458AD5">
            <w:pPr>
              <w:spacing w:line="276" w:lineRule="auto"/>
              <w:jc w:val="center"/>
              <w:rPr>
                <w:rFonts w:hint="default" w:ascii="Times New Roman" w:hAnsi="Times New Roman" w:cs="Times New Roman"/>
                <w:bCs/>
                <w:iCs/>
                <w:szCs w:val="21"/>
                <w:lang w:val="en-US" w:eastAsia="zh-CN"/>
              </w:rPr>
            </w:pPr>
            <w:r>
              <w:rPr>
                <w:rFonts w:hint="default" w:ascii="Times New Roman" w:hAnsi="Times New Roman" w:cs="Times New Roman"/>
                <w:bCs/>
                <w:iCs/>
                <w:szCs w:val="21"/>
                <w:lang w:val="en-US" w:eastAsia="zh-CN"/>
              </w:rPr>
              <w:t>独立董事：陈立虎</w:t>
            </w:r>
            <w:r>
              <w:rPr>
                <w:rFonts w:hint="eastAsia" w:ascii="Times New Roman" w:hAnsi="Times New Roman" w:cs="Times New Roman"/>
                <w:bCs/>
                <w:iCs/>
                <w:szCs w:val="21"/>
                <w:lang w:val="en-US" w:eastAsia="zh-CN"/>
              </w:rPr>
              <w:t>先生</w:t>
            </w:r>
          </w:p>
          <w:p w14:paraId="3FAC6A2D">
            <w:pPr>
              <w:spacing w:line="276" w:lineRule="auto"/>
              <w:jc w:val="center"/>
              <w:rPr>
                <w:rFonts w:hint="default" w:ascii="Times New Roman" w:hAnsi="Times New Roman" w:cs="Times New Roman"/>
                <w:bCs/>
                <w:iCs/>
                <w:szCs w:val="21"/>
                <w:lang w:val="en-US" w:eastAsia="zh-CN"/>
              </w:rPr>
            </w:pPr>
            <w:r>
              <w:rPr>
                <w:rFonts w:hint="default" w:ascii="Times New Roman" w:hAnsi="Times New Roman" w:cs="Times New Roman"/>
                <w:bCs/>
                <w:iCs/>
                <w:szCs w:val="21"/>
                <w:lang w:val="en-US" w:eastAsia="zh-CN"/>
              </w:rPr>
              <w:t>副总经理、董事会秘书、总法律顾问：刘羽欣</w:t>
            </w:r>
            <w:r>
              <w:rPr>
                <w:rFonts w:hint="eastAsia" w:ascii="Times New Roman" w:hAnsi="Times New Roman" w:cs="Times New Roman"/>
                <w:bCs/>
                <w:iCs/>
                <w:szCs w:val="21"/>
                <w:lang w:val="en-US" w:eastAsia="zh-CN"/>
              </w:rPr>
              <w:t>先生</w:t>
            </w:r>
          </w:p>
          <w:p w14:paraId="24291838">
            <w:pPr>
              <w:spacing w:line="276" w:lineRule="auto"/>
              <w:jc w:val="center"/>
              <w:rPr>
                <w:rFonts w:hint="default" w:ascii="Times New Roman" w:hAnsi="Times New Roman" w:cs="Times New Roman" w:eastAsiaTheme="minorEastAsia"/>
                <w:bCs/>
                <w:iCs/>
                <w:szCs w:val="21"/>
                <w:lang w:val="en-US" w:eastAsia="zh-CN"/>
              </w:rPr>
            </w:pPr>
            <w:r>
              <w:rPr>
                <w:rFonts w:hint="default" w:ascii="Times New Roman" w:hAnsi="Times New Roman" w:cs="Times New Roman"/>
                <w:bCs/>
                <w:iCs/>
                <w:szCs w:val="21"/>
                <w:lang w:val="en-US" w:eastAsia="zh-CN"/>
              </w:rPr>
              <w:t>财务负责人：史红伟</w:t>
            </w:r>
            <w:r>
              <w:rPr>
                <w:rFonts w:hint="eastAsia" w:ascii="Times New Roman" w:hAnsi="Times New Roman" w:cs="Times New Roman"/>
                <w:bCs/>
                <w:iCs/>
                <w:szCs w:val="21"/>
                <w:lang w:val="en-US" w:eastAsia="zh-CN"/>
              </w:rPr>
              <w:t>先生</w:t>
            </w:r>
          </w:p>
        </w:tc>
      </w:tr>
      <w:tr w14:paraId="793658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8" w:hRule="atLeast"/>
        </w:trPr>
        <w:tc>
          <w:tcPr>
            <w:tcW w:w="2469" w:type="dxa"/>
            <w:vAlign w:val="center"/>
          </w:tcPr>
          <w:p w14:paraId="0D448B7A">
            <w:pPr>
              <w:keepNext w:val="0"/>
              <w:keepLines w:val="0"/>
              <w:pageBreakBefore w:val="0"/>
              <w:widowControl w:val="0"/>
              <w:kinsoku/>
              <w:wordWrap/>
              <w:overflowPunct/>
              <w:topLinePunct w:val="0"/>
              <w:autoSpaceDE/>
              <w:autoSpaceDN/>
              <w:bidi w:val="0"/>
              <w:adjustRightInd/>
              <w:snapToGrid/>
              <w:ind w:right="0"/>
              <w:jc w:val="center"/>
              <w:textAlignment w:val="auto"/>
              <w:rPr>
                <w:rFonts w:asciiTheme="minorEastAsia" w:hAnsiTheme="minorEastAsia"/>
                <w:b/>
                <w:sz w:val="24"/>
                <w:szCs w:val="21"/>
              </w:rPr>
            </w:pPr>
            <w:r>
              <w:rPr>
                <w:b/>
                <w:sz w:val="24"/>
              </w:rPr>
              <w:t>投资者关系活动主要内容介绍</w:t>
            </w:r>
          </w:p>
        </w:tc>
        <w:tc>
          <w:tcPr>
            <w:tcW w:w="6520" w:type="dxa"/>
            <w:vAlign w:val="center"/>
          </w:tcPr>
          <w:p w14:paraId="4A4FF16D">
            <w:pPr>
              <w:pStyle w:val="11"/>
              <w:numPr>
                <w:ilvl w:val="0"/>
                <w:numId w:val="1"/>
              </w:numPr>
              <w:spacing w:line="276" w:lineRule="auto"/>
              <w:ind w:firstLineChars="0"/>
              <w:rPr>
                <w:rFonts w:hint="default" w:ascii="Times New Roman" w:hAnsi="Times New Roman" w:cs="Times New Roman"/>
                <w:bCs/>
                <w:iCs/>
                <w:szCs w:val="21"/>
              </w:rPr>
            </w:pPr>
            <w:r>
              <w:rPr>
                <w:rFonts w:hint="default" w:ascii="Times New Roman" w:hAnsi="Times New Roman" w:cs="Times New Roman"/>
                <w:bCs/>
                <w:iCs/>
                <w:szCs w:val="21"/>
              </w:rPr>
              <w:t>公司董事</w:t>
            </w:r>
            <w:r>
              <w:rPr>
                <w:rFonts w:hint="eastAsia" w:ascii="Times New Roman" w:hAnsi="Times New Roman" w:cs="Times New Roman"/>
                <w:bCs/>
                <w:iCs/>
                <w:szCs w:val="21"/>
                <w:lang w:val="en-US" w:eastAsia="zh-CN"/>
              </w:rPr>
              <w:t>长</w:t>
            </w:r>
            <w:r>
              <w:rPr>
                <w:rFonts w:hint="default" w:ascii="Times New Roman" w:hAnsi="Times New Roman" w:cs="Times New Roman"/>
                <w:bCs/>
                <w:iCs/>
                <w:szCs w:val="21"/>
              </w:rPr>
              <w:t>张胜新先生主持并开场致辞</w:t>
            </w:r>
          </w:p>
          <w:p w14:paraId="231DDB4E">
            <w:pPr>
              <w:pStyle w:val="11"/>
              <w:widowControl w:val="0"/>
              <w:numPr>
                <w:ilvl w:val="0"/>
                <w:numId w:val="0"/>
              </w:numPr>
              <w:spacing w:line="276" w:lineRule="auto"/>
              <w:jc w:val="both"/>
              <w:rPr>
                <w:rFonts w:hint="default" w:ascii="Times New Roman" w:hAnsi="Times New Roman" w:cs="Times New Roman"/>
                <w:bCs/>
                <w:iCs/>
                <w:szCs w:val="21"/>
              </w:rPr>
            </w:pPr>
          </w:p>
          <w:p w14:paraId="72F39FA3">
            <w:pPr>
              <w:pStyle w:val="11"/>
              <w:numPr>
                <w:ilvl w:val="0"/>
                <w:numId w:val="1"/>
              </w:numPr>
              <w:spacing w:line="276" w:lineRule="auto"/>
              <w:ind w:firstLineChars="0"/>
              <w:rPr>
                <w:rFonts w:hint="default" w:ascii="Times New Roman" w:hAnsi="Times New Roman" w:cs="Times New Roman"/>
                <w:bCs/>
                <w:iCs/>
                <w:szCs w:val="21"/>
              </w:rPr>
            </w:pPr>
            <w:r>
              <w:rPr>
                <w:rFonts w:hint="default" w:ascii="Times New Roman" w:hAnsi="Times New Roman" w:cs="Times New Roman"/>
                <w:bCs/>
                <w:iCs/>
                <w:szCs w:val="21"/>
              </w:rPr>
              <w:t>投资者问答</w:t>
            </w:r>
          </w:p>
          <w:p w14:paraId="5C23D80D">
            <w:pPr>
              <w:spacing w:line="276" w:lineRule="auto"/>
              <w:ind w:firstLine="422" w:firstLineChars="200"/>
              <w:rPr>
                <w:rFonts w:hint="eastAsia" w:ascii="Times New Roman" w:hAnsi="Times New Roman" w:cs="Times New Roman"/>
                <w:b/>
                <w:bCs w:val="0"/>
                <w:iCs/>
                <w:szCs w:val="21"/>
                <w:lang w:val="en-US" w:eastAsia="zh-CN"/>
              </w:rPr>
            </w:pPr>
            <w:r>
              <w:rPr>
                <w:rFonts w:hint="default" w:ascii="Times New Roman" w:hAnsi="Times New Roman" w:cs="Times New Roman"/>
                <w:b/>
                <w:bCs w:val="0"/>
                <w:iCs/>
                <w:szCs w:val="21"/>
              </w:rPr>
              <w:t>1</w:t>
            </w:r>
            <w:r>
              <w:rPr>
                <w:rFonts w:hint="default" w:ascii="Times New Roman" w:hAnsi="Times New Roman" w:cs="Times New Roman"/>
                <w:b/>
                <w:bCs w:val="0"/>
                <w:iCs/>
                <w:szCs w:val="21"/>
                <w:lang w:val="en-US" w:eastAsia="zh-CN"/>
              </w:rPr>
              <w:t>、问：</w:t>
            </w:r>
            <w:r>
              <w:rPr>
                <w:rFonts w:hint="eastAsia" w:ascii="Times New Roman" w:hAnsi="Times New Roman" w:cs="Times New Roman"/>
                <w:b/>
                <w:bCs w:val="0"/>
                <w:iCs/>
                <w:szCs w:val="21"/>
                <w:lang w:val="en-US" w:eastAsia="zh-CN"/>
              </w:rPr>
              <w:t>尊敬的领导，上午好！作为中小投资者，有以下问题：1、可视化半年报显示，公司业绩较去年同期呈收入下降反而利润增加，同时负债率连续三年下降，同时投资和筹资性现金流均告负，能否分析一下原因？2、公司目前在舆情管理上做了哪些工作？当下网络舆情高发，考虑公司服务C端，有何举措？</w:t>
            </w:r>
          </w:p>
          <w:p w14:paraId="120FC74F">
            <w:pPr>
              <w:spacing w:line="276" w:lineRule="auto"/>
              <w:ind w:firstLine="420" w:firstLineChars="200"/>
              <w:rPr>
                <w:rFonts w:hint="default" w:ascii="Times New Roman" w:hAnsi="Times New Roman" w:cs="Times New Roman"/>
                <w:bCs/>
                <w:iCs/>
                <w:szCs w:val="21"/>
              </w:rPr>
            </w:pPr>
            <w:r>
              <w:rPr>
                <w:rFonts w:hint="default" w:ascii="Times New Roman" w:hAnsi="Times New Roman" w:cs="Times New Roman"/>
                <w:bCs/>
                <w:iCs/>
                <w:szCs w:val="21"/>
              </w:rPr>
              <w:t>答：尊敬的投资者，您好！上半年归母净利润同比增长15.12%，主要源于利润结构的优化——酒店服务板块、食品产业利润同比增加，叠加节流控费降本所致。营收承压主要来自苏糖酒类贸易深度调整及周边租赁竞争加剧，而公司核心酒店主业经营良性稳健。投资活动现金净流出主要系公司增加理财产品投资所致；筹资活动现金净流出主要系苏糖公司偿还到期债务增加、短期借款减少所致。</w:t>
            </w:r>
          </w:p>
          <w:p w14:paraId="3CEF3C35">
            <w:pPr>
              <w:spacing w:line="276" w:lineRule="auto"/>
              <w:ind w:firstLine="420" w:firstLineChars="200"/>
              <w:rPr>
                <w:rFonts w:hint="default" w:ascii="Times New Roman" w:hAnsi="Times New Roman" w:cs="Times New Roman"/>
                <w:bCs/>
                <w:iCs/>
                <w:szCs w:val="21"/>
              </w:rPr>
            </w:pPr>
            <w:r>
              <w:rPr>
                <w:rFonts w:hint="default" w:ascii="Times New Roman" w:hAnsi="Times New Roman" w:cs="Times New Roman"/>
                <w:bCs/>
                <w:iCs/>
                <w:szCs w:val="21"/>
              </w:rPr>
              <w:t>公司高度重视网络舆情管理，针对服务C端的行业特性，建立了舆情监测与快速响应机制，通过专业团队实时跟踪主流社交、OTA平台的客户评价与舆论动态，形成</w:t>
            </w:r>
            <w:r>
              <w:rPr>
                <w:rFonts w:hint="eastAsia" w:ascii="Times New Roman" w:hAnsi="Times New Roman" w:cs="Times New Roman"/>
                <w:bCs/>
                <w:iCs/>
                <w:szCs w:val="21"/>
                <w:lang w:eastAsia="zh-CN"/>
              </w:rPr>
              <w:t>“</w:t>
            </w:r>
            <w:r>
              <w:rPr>
                <w:rFonts w:hint="default" w:ascii="Times New Roman" w:hAnsi="Times New Roman" w:cs="Times New Roman"/>
                <w:bCs/>
                <w:iCs/>
                <w:szCs w:val="21"/>
              </w:rPr>
              <w:t>发现问题</w:t>
            </w:r>
            <w:r>
              <w:rPr>
                <w:rFonts w:hint="eastAsia" w:ascii="Times New Roman" w:hAnsi="Times New Roman" w:cs="Times New Roman"/>
                <w:bCs/>
                <w:iCs/>
                <w:szCs w:val="21"/>
                <w:lang w:eastAsia="zh-CN"/>
              </w:rPr>
              <w:t>－</w:t>
            </w:r>
            <w:r>
              <w:rPr>
                <w:rFonts w:hint="default" w:ascii="Times New Roman" w:hAnsi="Times New Roman" w:cs="Times New Roman"/>
                <w:bCs/>
                <w:iCs/>
                <w:szCs w:val="21"/>
              </w:rPr>
              <w:t>迅速响应</w:t>
            </w:r>
            <w:r>
              <w:rPr>
                <w:rFonts w:hint="eastAsia" w:ascii="Times New Roman" w:hAnsi="Times New Roman" w:cs="Times New Roman"/>
                <w:bCs/>
                <w:iCs/>
                <w:szCs w:val="21"/>
                <w:lang w:eastAsia="zh-CN"/>
              </w:rPr>
              <w:t>－</w:t>
            </w:r>
            <w:r>
              <w:rPr>
                <w:rFonts w:hint="default" w:ascii="Times New Roman" w:hAnsi="Times New Roman" w:cs="Times New Roman"/>
                <w:bCs/>
                <w:iCs/>
                <w:szCs w:val="21"/>
              </w:rPr>
              <w:t>闭环整改</w:t>
            </w:r>
            <w:r>
              <w:rPr>
                <w:rFonts w:hint="eastAsia" w:ascii="Times New Roman" w:hAnsi="Times New Roman" w:cs="Times New Roman"/>
                <w:bCs/>
                <w:iCs/>
                <w:szCs w:val="21"/>
                <w:lang w:eastAsia="zh-CN"/>
              </w:rPr>
              <w:t>”</w:t>
            </w:r>
            <w:r>
              <w:rPr>
                <w:rFonts w:hint="default" w:ascii="Times New Roman" w:hAnsi="Times New Roman" w:cs="Times New Roman"/>
                <w:bCs/>
                <w:iCs/>
                <w:szCs w:val="21"/>
              </w:rPr>
              <w:t>的常态化舆情处置流程。同时，公司持续通过短视频、场景种草等创意传播方式讲述</w:t>
            </w:r>
            <w:r>
              <w:rPr>
                <w:rFonts w:hint="eastAsia" w:ascii="Times New Roman" w:hAnsi="Times New Roman" w:cs="Times New Roman"/>
                <w:bCs/>
                <w:iCs/>
                <w:szCs w:val="21"/>
                <w:lang w:eastAsia="zh-CN"/>
              </w:rPr>
              <w:t>“</w:t>
            </w:r>
            <w:r>
              <w:rPr>
                <w:rFonts w:hint="default" w:ascii="Times New Roman" w:hAnsi="Times New Roman" w:cs="Times New Roman"/>
                <w:bCs/>
                <w:iCs/>
                <w:szCs w:val="21"/>
              </w:rPr>
              <w:t>金陵</w:t>
            </w:r>
            <w:r>
              <w:rPr>
                <w:rFonts w:hint="eastAsia" w:ascii="Times New Roman" w:hAnsi="Times New Roman" w:cs="Times New Roman"/>
                <w:bCs/>
                <w:iCs/>
                <w:szCs w:val="21"/>
                <w:lang w:eastAsia="zh-CN"/>
              </w:rPr>
              <w:t>”</w:t>
            </w:r>
            <w:r>
              <w:rPr>
                <w:rFonts w:hint="default" w:ascii="Times New Roman" w:hAnsi="Times New Roman" w:cs="Times New Roman"/>
                <w:bCs/>
                <w:iCs/>
                <w:szCs w:val="21"/>
              </w:rPr>
              <w:t>服务故事，以正面内容传递品牌温度。公司每年开展服务质量暗访、网评专项复盘整改，将客诉舆情作为服务品质提升的重要抓手，持续为消费者提供金陵品质服务。感谢您对公司的关注！</w:t>
            </w:r>
          </w:p>
          <w:p w14:paraId="7643C965">
            <w:pPr>
              <w:spacing w:line="276" w:lineRule="auto"/>
              <w:ind w:firstLine="315" w:firstLineChars="150"/>
              <w:rPr>
                <w:rFonts w:hint="default" w:ascii="Times New Roman" w:hAnsi="Times New Roman" w:cs="Times New Roman"/>
                <w:bCs/>
                <w:iCs/>
                <w:szCs w:val="21"/>
              </w:rPr>
            </w:pPr>
          </w:p>
          <w:p w14:paraId="63534946">
            <w:pPr>
              <w:spacing w:line="276" w:lineRule="auto"/>
              <w:ind w:firstLine="315" w:firstLineChars="150"/>
              <w:rPr>
                <w:rFonts w:hint="default" w:ascii="Times New Roman" w:hAnsi="Times New Roman" w:cs="Times New Roman"/>
                <w:bCs/>
                <w:iCs/>
                <w:szCs w:val="21"/>
              </w:rPr>
            </w:pPr>
          </w:p>
          <w:p w14:paraId="24B89C0B">
            <w:pPr>
              <w:spacing w:line="276" w:lineRule="auto"/>
              <w:ind w:firstLine="422" w:firstLineChars="200"/>
              <w:rPr>
                <w:rFonts w:hint="default" w:ascii="Times New Roman" w:hAnsi="Times New Roman" w:cs="Times New Roman"/>
                <w:b/>
                <w:bCs w:val="0"/>
                <w:iCs/>
                <w:szCs w:val="21"/>
              </w:rPr>
            </w:pPr>
            <w:r>
              <w:rPr>
                <w:rFonts w:hint="default" w:ascii="Times New Roman" w:hAnsi="Times New Roman" w:cs="Times New Roman"/>
                <w:b/>
                <w:bCs w:val="0"/>
                <w:iCs/>
                <w:szCs w:val="21"/>
              </w:rPr>
              <w:t>2、</w:t>
            </w:r>
            <w:r>
              <w:rPr>
                <w:rFonts w:hint="default" w:ascii="Times New Roman" w:hAnsi="Times New Roman" w:cs="Times New Roman"/>
                <w:b/>
                <w:bCs w:val="0"/>
                <w:iCs/>
                <w:szCs w:val="21"/>
                <w:lang w:val="en-US" w:eastAsia="zh-CN"/>
              </w:rPr>
              <w:t>问：</w:t>
            </w:r>
            <w:r>
              <w:rPr>
                <w:rFonts w:hint="default" w:ascii="Times New Roman" w:hAnsi="Times New Roman" w:cs="Times New Roman"/>
                <w:b/>
                <w:bCs w:val="0"/>
                <w:iCs/>
                <w:szCs w:val="21"/>
              </w:rPr>
              <w:t>陈独董您好，作为代表中小股东利益的独立董事，我十分关注公司治理的有效性以及重大战略投资的风险防范。公司目前正大力推进“人工智能+”专项行动以及ERP系统升级与司库体系建设，并启动了数据中台项目。请问在董事会审议这些数智化转型项目时，独董团队如何评估这些项目的投入产出比？在管理层面临短期营收下滑压力的情况下，如何确保公司在追求长期战略转型的过程中，不损害中小股东的当期合法权益？</w:t>
            </w:r>
          </w:p>
          <w:p w14:paraId="062814C1">
            <w:pPr>
              <w:spacing w:line="276" w:lineRule="auto"/>
              <w:ind w:firstLine="420" w:firstLineChars="200"/>
              <w:rPr>
                <w:rFonts w:hint="default" w:ascii="Times New Roman" w:hAnsi="Times New Roman" w:cs="Times New Roman"/>
                <w:bCs/>
                <w:iCs/>
                <w:szCs w:val="21"/>
              </w:rPr>
            </w:pPr>
            <w:r>
              <w:rPr>
                <w:rFonts w:hint="default" w:ascii="Times New Roman" w:hAnsi="Times New Roman" w:cs="Times New Roman"/>
                <w:bCs/>
                <w:iCs/>
                <w:szCs w:val="21"/>
              </w:rPr>
              <w:t>答：尊敬的投资者，您好！感谢您对公司治理与中小股东权益的高度关注。独立董事团队在审议数智化转型项目时，始终秉持</w:t>
            </w:r>
            <w:r>
              <w:rPr>
                <w:rFonts w:hint="eastAsia" w:ascii="Times New Roman" w:hAnsi="Times New Roman" w:cs="Times New Roman"/>
                <w:bCs/>
                <w:iCs/>
                <w:szCs w:val="21"/>
                <w:lang w:eastAsia="zh-CN"/>
              </w:rPr>
              <w:t>“</w:t>
            </w:r>
            <w:r>
              <w:rPr>
                <w:rFonts w:hint="default" w:ascii="Times New Roman" w:hAnsi="Times New Roman" w:cs="Times New Roman"/>
                <w:bCs/>
                <w:iCs/>
                <w:szCs w:val="21"/>
              </w:rPr>
              <w:t>参与决策、监督制衡、专业咨询</w:t>
            </w:r>
            <w:r>
              <w:rPr>
                <w:rFonts w:hint="eastAsia" w:ascii="Times New Roman" w:hAnsi="Times New Roman" w:cs="Times New Roman"/>
                <w:bCs/>
                <w:iCs/>
                <w:szCs w:val="21"/>
                <w:lang w:eastAsia="zh-CN"/>
              </w:rPr>
              <w:t>”</w:t>
            </w:r>
            <w:r>
              <w:rPr>
                <w:rFonts w:hint="default" w:ascii="Times New Roman" w:hAnsi="Times New Roman" w:cs="Times New Roman"/>
                <w:bCs/>
                <w:iCs/>
                <w:szCs w:val="21"/>
              </w:rPr>
              <w:t>的履职原则，从全链条保障投入产出与风险可控。严格审议项目立项依据、预算规模及预期效益，</w:t>
            </w:r>
            <w:r>
              <w:rPr>
                <w:rFonts w:hint="eastAsia" w:ascii="Times New Roman" w:hAnsi="Times New Roman" w:cs="Times New Roman"/>
                <w:bCs/>
                <w:iCs/>
                <w:szCs w:val="21"/>
                <w:lang w:eastAsia="zh-CN"/>
              </w:rPr>
              <w:t>“</w:t>
            </w:r>
            <w:r>
              <w:rPr>
                <w:rFonts w:hint="default" w:ascii="Times New Roman" w:hAnsi="Times New Roman" w:cs="Times New Roman"/>
                <w:bCs/>
                <w:iCs/>
                <w:szCs w:val="21"/>
              </w:rPr>
              <w:t>尊享金陵</w:t>
            </w:r>
            <w:r>
              <w:rPr>
                <w:rFonts w:hint="eastAsia" w:ascii="Times New Roman" w:hAnsi="Times New Roman" w:cs="Times New Roman"/>
                <w:bCs/>
                <w:iCs/>
                <w:szCs w:val="21"/>
                <w:lang w:eastAsia="zh-CN"/>
              </w:rPr>
              <w:t>”</w:t>
            </w:r>
            <w:r>
              <w:rPr>
                <w:rFonts w:hint="default" w:ascii="Times New Roman" w:hAnsi="Times New Roman" w:cs="Times New Roman"/>
                <w:bCs/>
                <w:iCs/>
                <w:szCs w:val="21"/>
              </w:rPr>
              <w:t>直销平台2025年会员消费4.39亿元、同比增长19.62%，集采平台平均降本率达15%——这些已有的可量化成果是独立董事衡量后续投入产出的重要参照。在保护中小股东当期权益方面，公司已将市值管理、ESG绩效等纳入董事会及管理层考核，独立董事通过深入子公司一线实地调研、督导经营管理等措施，确保</w:t>
            </w:r>
            <w:r>
              <w:rPr>
                <w:rFonts w:hint="eastAsia" w:ascii="Times New Roman" w:hAnsi="Times New Roman" w:cs="Times New Roman"/>
                <w:bCs/>
                <w:iCs/>
                <w:szCs w:val="21"/>
                <w:lang w:eastAsia="zh-CN"/>
              </w:rPr>
              <w:t>“</w:t>
            </w:r>
            <w:r>
              <w:rPr>
                <w:rFonts w:hint="default" w:ascii="Times New Roman" w:hAnsi="Times New Roman" w:cs="Times New Roman"/>
                <w:bCs/>
                <w:iCs/>
                <w:szCs w:val="21"/>
              </w:rPr>
              <w:t>降本挖潜</w:t>
            </w:r>
            <w:r>
              <w:rPr>
                <w:rFonts w:hint="eastAsia" w:ascii="Times New Roman" w:hAnsi="Times New Roman" w:cs="Times New Roman"/>
                <w:bCs/>
                <w:iCs/>
                <w:szCs w:val="21"/>
                <w:lang w:eastAsia="zh-CN"/>
              </w:rPr>
              <w:t>”</w:t>
            </w:r>
            <w:r>
              <w:rPr>
                <w:rFonts w:hint="default" w:ascii="Times New Roman" w:hAnsi="Times New Roman" w:cs="Times New Roman"/>
                <w:bCs/>
                <w:iCs/>
                <w:szCs w:val="21"/>
              </w:rPr>
              <w:t>与</w:t>
            </w:r>
            <w:r>
              <w:rPr>
                <w:rFonts w:hint="eastAsia" w:ascii="Times New Roman" w:hAnsi="Times New Roman" w:cs="Times New Roman"/>
                <w:bCs/>
                <w:iCs/>
                <w:szCs w:val="21"/>
                <w:lang w:eastAsia="zh-CN"/>
              </w:rPr>
              <w:t>“</w:t>
            </w:r>
            <w:r>
              <w:rPr>
                <w:rFonts w:hint="default" w:ascii="Times New Roman" w:hAnsi="Times New Roman" w:cs="Times New Roman"/>
                <w:bCs/>
                <w:iCs/>
                <w:szCs w:val="21"/>
              </w:rPr>
              <w:t>提质增效</w:t>
            </w:r>
            <w:r>
              <w:rPr>
                <w:rFonts w:hint="eastAsia" w:ascii="Times New Roman" w:hAnsi="Times New Roman" w:cs="Times New Roman"/>
                <w:bCs/>
                <w:iCs/>
                <w:szCs w:val="21"/>
                <w:lang w:eastAsia="zh-CN"/>
              </w:rPr>
              <w:t>”</w:t>
            </w:r>
            <w:r>
              <w:rPr>
                <w:rFonts w:hint="default" w:ascii="Times New Roman" w:hAnsi="Times New Roman" w:cs="Times New Roman"/>
                <w:bCs/>
                <w:iCs/>
                <w:szCs w:val="21"/>
              </w:rPr>
              <w:t>切实转化为利润。同时公司2025年现金分红比例达83%、近五年年均分红超80%，自上市以来累计分红超5.25亿元，高于首发募资总额，在高分红的同时推进数智化转型，充分兼顾了长期战略投入与中小股东当期权益的平衡。独立董事将在后续项目中持续发挥监督制衡作用，确保每一分数智化投入都能</w:t>
            </w:r>
            <w:r>
              <w:rPr>
                <w:rFonts w:hint="eastAsia" w:ascii="Times New Roman" w:hAnsi="Times New Roman" w:cs="Times New Roman"/>
                <w:bCs/>
                <w:iCs/>
                <w:szCs w:val="21"/>
                <w:lang w:eastAsia="zh-CN"/>
              </w:rPr>
              <w:t>“</w:t>
            </w:r>
            <w:r>
              <w:rPr>
                <w:rFonts w:hint="default" w:ascii="Times New Roman" w:hAnsi="Times New Roman" w:cs="Times New Roman"/>
                <w:bCs/>
                <w:iCs/>
                <w:szCs w:val="21"/>
              </w:rPr>
              <w:t>算好账、见实效</w:t>
            </w:r>
            <w:r>
              <w:rPr>
                <w:rFonts w:hint="eastAsia" w:ascii="Times New Roman" w:hAnsi="Times New Roman" w:cs="Times New Roman"/>
                <w:bCs/>
                <w:iCs/>
                <w:szCs w:val="21"/>
                <w:lang w:eastAsia="zh-CN"/>
              </w:rPr>
              <w:t>”</w:t>
            </w:r>
            <w:r>
              <w:rPr>
                <w:rFonts w:hint="default" w:ascii="Times New Roman" w:hAnsi="Times New Roman" w:cs="Times New Roman"/>
                <w:bCs/>
                <w:iCs/>
                <w:szCs w:val="21"/>
              </w:rPr>
              <w:t>，保障公司高质量发展行稳致远。感谢您对公司的关注！</w:t>
            </w:r>
          </w:p>
          <w:p w14:paraId="3A01B5CD">
            <w:pPr>
              <w:spacing w:line="276" w:lineRule="auto"/>
              <w:ind w:firstLine="420" w:firstLineChars="200"/>
              <w:rPr>
                <w:rFonts w:hint="default" w:ascii="Times New Roman" w:hAnsi="Times New Roman" w:cs="Times New Roman"/>
                <w:bCs/>
                <w:iCs/>
                <w:szCs w:val="21"/>
              </w:rPr>
            </w:pPr>
          </w:p>
          <w:p w14:paraId="47BE35D0">
            <w:pPr>
              <w:spacing w:line="276" w:lineRule="auto"/>
              <w:ind w:firstLine="420" w:firstLineChars="200"/>
              <w:rPr>
                <w:rFonts w:hint="default" w:ascii="Times New Roman" w:hAnsi="Times New Roman" w:cs="Times New Roman"/>
                <w:bCs/>
                <w:iCs/>
                <w:szCs w:val="21"/>
              </w:rPr>
            </w:pPr>
          </w:p>
          <w:p w14:paraId="0BC60632">
            <w:pPr>
              <w:spacing w:line="276" w:lineRule="auto"/>
              <w:ind w:firstLine="422" w:firstLineChars="200"/>
              <w:rPr>
                <w:rFonts w:hint="default" w:ascii="Times New Roman" w:hAnsi="Times New Roman" w:cs="Times New Roman"/>
                <w:b/>
                <w:bCs w:val="0"/>
                <w:iCs/>
                <w:szCs w:val="21"/>
              </w:rPr>
            </w:pPr>
            <w:r>
              <w:rPr>
                <w:rFonts w:hint="default" w:ascii="Times New Roman" w:hAnsi="Times New Roman" w:cs="Times New Roman"/>
                <w:b/>
                <w:bCs w:val="0"/>
                <w:iCs/>
                <w:szCs w:val="21"/>
                <w:lang w:val="en-US" w:eastAsia="zh-CN"/>
              </w:rPr>
              <w:t>3</w:t>
            </w:r>
            <w:r>
              <w:rPr>
                <w:rFonts w:hint="default" w:ascii="Times New Roman" w:hAnsi="Times New Roman" w:cs="Times New Roman"/>
                <w:b/>
                <w:bCs w:val="0"/>
                <w:iCs/>
                <w:szCs w:val="21"/>
              </w:rPr>
              <w:t>、</w:t>
            </w:r>
            <w:r>
              <w:rPr>
                <w:rFonts w:hint="default" w:ascii="Times New Roman" w:hAnsi="Times New Roman" w:cs="Times New Roman"/>
                <w:b/>
                <w:bCs w:val="0"/>
                <w:iCs/>
                <w:szCs w:val="21"/>
                <w:lang w:val="en-US" w:eastAsia="zh-CN"/>
              </w:rPr>
              <w:t>问：张董您好，作为长期关注公司发展的中小股东，我非常认可公司在“改革深化、品牌引领、数智赋能”主线下的战略布局。但结合2026年半年度报告，我注意到公司上半年实现营业收入8.11亿元（同比下降4.73%），而归母净利润为2676.75万元（同比增长15.12%），呈现出明显的“营收下滑但利润逆势增长”现象。请问管理层如何看待这种背离？在周边租赁市场竞争加剧、酒类贸易处于深度调整期导致营收承压的背景下，公司未来在酒店主业扩能提质与连锁发展方面有何具体的战略规划，以确保核心主业的增长能够对冲协同产业的下滑？</w:t>
            </w:r>
          </w:p>
          <w:p w14:paraId="0BA5BD41">
            <w:pPr>
              <w:spacing w:line="276" w:lineRule="auto"/>
              <w:ind w:firstLine="420" w:firstLineChars="200"/>
              <w:rPr>
                <w:rFonts w:hint="default" w:ascii="Times New Roman" w:hAnsi="Times New Roman" w:cs="Times New Roman"/>
                <w:bCs/>
                <w:iCs/>
                <w:szCs w:val="21"/>
              </w:rPr>
            </w:pPr>
            <w:r>
              <w:rPr>
                <w:rFonts w:hint="default" w:ascii="Times New Roman" w:hAnsi="Times New Roman" w:cs="Times New Roman"/>
                <w:bCs/>
                <w:iCs/>
                <w:szCs w:val="21"/>
              </w:rPr>
              <w:t>答：尊敬的投资者，您好！上半年</w:t>
            </w:r>
            <w:r>
              <w:rPr>
                <w:rFonts w:hint="eastAsia" w:ascii="Times New Roman" w:hAnsi="Times New Roman" w:cs="Times New Roman"/>
                <w:bCs/>
                <w:iCs/>
                <w:szCs w:val="21"/>
                <w:lang w:eastAsia="zh-CN"/>
              </w:rPr>
              <w:t>“</w:t>
            </w:r>
            <w:r>
              <w:rPr>
                <w:rFonts w:hint="default" w:ascii="Times New Roman" w:hAnsi="Times New Roman" w:cs="Times New Roman"/>
                <w:bCs/>
                <w:iCs/>
                <w:szCs w:val="21"/>
              </w:rPr>
              <w:t>营收降、利润增</w:t>
            </w:r>
            <w:r>
              <w:rPr>
                <w:rFonts w:hint="eastAsia" w:ascii="Times New Roman" w:hAnsi="Times New Roman" w:cs="Times New Roman"/>
                <w:bCs/>
                <w:iCs/>
                <w:szCs w:val="21"/>
                <w:lang w:eastAsia="zh-CN"/>
              </w:rPr>
              <w:t>”</w:t>
            </w:r>
            <w:r>
              <w:rPr>
                <w:rFonts w:hint="default" w:ascii="Times New Roman" w:hAnsi="Times New Roman" w:cs="Times New Roman"/>
                <w:bCs/>
                <w:iCs/>
                <w:szCs w:val="21"/>
              </w:rPr>
              <w:t>主要源于利润结构的优化——酒店服务板块、食品产业利润同比增加，叠加节流控费降本所致。营收承压主要来自苏糖酒类贸易深度调整及周边租赁竞争加剧，而公司核心酒店主业经营良性稳健。未来在酒店主业方面，公司将紧扣</w:t>
            </w:r>
            <w:r>
              <w:rPr>
                <w:rFonts w:hint="eastAsia" w:ascii="Times New Roman" w:hAnsi="Times New Roman" w:cs="Times New Roman"/>
                <w:bCs/>
                <w:iCs/>
                <w:szCs w:val="21"/>
                <w:lang w:eastAsia="zh-CN"/>
              </w:rPr>
              <w:t>“</w:t>
            </w:r>
            <w:r>
              <w:rPr>
                <w:rFonts w:hint="default" w:ascii="Times New Roman" w:hAnsi="Times New Roman" w:cs="Times New Roman"/>
                <w:bCs/>
                <w:iCs/>
                <w:szCs w:val="21"/>
              </w:rPr>
              <w:t>品牌化、数智化、资本化</w:t>
            </w:r>
            <w:r>
              <w:rPr>
                <w:rFonts w:hint="eastAsia" w:ascii="Times New Roman" w:hAnsi="Times New Roman" w:cs="Times New Roman"/>
                <w:bCs/>
                <w:iCs/>
                <w:szCs w:val="21"/>
                <w:lang w:eastAsia="zh-CN"/>
              </w:rPr>
              <w:t>”</w:t>
            </w:r>
            <w:r>
              <w:rPr>
                <w:rFonts w:hint="default" w:ascii="Times New Roman" w:hAnsi="Times New Roman" w:cs="Times New Roman"/>
                <w:bCs/>
                <w:iCs/>
                <w:szCs w:val="21"/>
              </w:rPr>
              <w:t>三大引擎，深耕品牌焕新与文化赋能，推动文旅商体健融合联动；强化收益管理与会员运营，挖掘金陵会员的消费潜力；坚持</w:t>
            </w:r>
            <w:r>
              <w:rPr>
                <w:rFonts w:hint="eastAsia" w:ascii="Times New Roman" w:hAnsi="Times New Roman" w:cs="Times New Roman"/>
                <w:bCs/>
                <w:iCs/>
                <w:szCs w:val="21"/>
                <w:lang w:eastAsia="zh-CN"/>
              </w:rPr>
              <w:t>“</w:t>
            </w:r>
            <w:r>
              <w:rPr>
                <w:rFonts w:hint="default" w:ascii="Times New Roman" w:hAnsi="Times New Roman" w:cs="Times New Roman"/>
                <w:bCs/>
                <w:iCs/>
                <w:szCs w:val="21"/>
              </w:rPr>
              <w:t>质效优先</w:t>
            </w:r>
            <w:r>
              <w:rPr>
                <w:rFonts w:hint="eastAsia" w:ascii="Times New Roman" w:hAnsi="Times New Roman" w:cs="Times New Roman"/>
                <w:bCs/>
                <w:iCs/>
                <w:szCs w:val="21"/>
                <w:lang w:eastAsia="zh-CN"/>
              </w:rPr>
              <w:t>”</w:t>
            </w:r>
            <w:r>
              <w:rPr>
                <w:rFonts w:hint="default" w:ascii="Times New Roman" w:hAnsi="Times New Roman" w:cs="Times New Roman"/>
                <w:bCs/>
                <w:iCs/>
                <w:szCs w:val="21"/>
              </w:rPr>
              <w:t>拓店策略，聚焦长三角核心区域打造旗舰样板店，通过精细化管控提升连锁项目品质与效益，努力实现高质量发展。感谢您对公司的关注！</w:t>
            </w:r>
          </w:p>
          <w:p w14:paraId="4551FE1F">
            <w:pPr>
              <w:pStyle w:val="11"/>
              <w:keepNext w:val="0"/>
              <w:keepLines w:val="0"/>
              <w:pageBreakBefore w:val="0"/>
              <w:widowControl w:val="0"/>
              <w:numPr>
                <w:ilvl w:val="0"/>
                <w:numId w:val="0"/>
              </w:numPr>
              <w:kinsoku/>
              <w:wordWrap/>
              <w:overflowPunct/>
              <w:topLinePunct w:val="0"/>
              <w:autoSpaceDE/>
              <w:autoSpaceDN/>
              <w:bidi w:val="0"/>
              <w:adjustRightInd/>
              <w:snapToGrid/>
              <w:spacing w:line="276" w:lineRule="auto"/>
              <w:jc w:val="both"/>
              <w:textAlignment w:val="auto"/>
              <w:rPr>
                <w:rFonts w:hint="default" w:ascii="Times New Roman" w:hAnsi="Times New Roman" w:cs="Times New Roman"/>
                <w:bCs/>
                <w:iCs/>
                <w:szCs w:val="21"/>
                <w:lang w:val="en-US" w:eastAsia="zh-CN"/>
              </w:rPr>
            </w:pPr>
          </w:p>
          <w:p w14:paraId="5CF20922">
            <w:pPr>
              <w:pStyle w:val="11"/>
              <w:keepNext w:val="0"/>
              <w:keepLines w:val="0"/>
              <w:pageBreakBefore w:val="0"/>
              <w:widowControl w:val="0"/>
              <w:numPr>
                <w:ilvl w:val="0"/>
                <w:numId w:val="0"/>
              </w:numPr>
              <w:kinsoku/>
              <w:wordWrap/>
              <w:overflowPunct/>
              <w:topLinePunct w:val="0"/>
              <w:autoSpaceDE/>
              <w:autoSpaceDN/>
              <w:bidi w:val="0"/>
              <w:adjustRightInd/>
              <w:snapToGrid/>
              <w:spacing w:line="276" w:lineRule="auto"/>
              <w:jc w:val="both"/>
              <w:textAlignment w:val="auto"/>
              <w:rPr>
                <w:rFonts w:hint="default" w:ascii="Times New Roman" w:hAnsi="Times New Roman" w:cs="Times New Roman"/>
                <w:bCs/>
                <w:iCs/>
                <w:szCs w:val="21"/>
                <w:lang w:val="en-US" w:eastAsia="zh-CN"/>
              </w:rPr>
            </w:pPr>
          </w:p>
          <w:p w14:paraId="3BAE8E24">
            <w:pPr>
              <w:spacing w:line="276" w:lineRule="auto"/>
              <w:ind w:firstLine="422" w:firstLineChars="200"/>
              <w:rPr>
                <w:rFonts w:hint="default" w:ascii="Times New Roman" w:hAnsi="Times New Roman" w:cs="Times New Roman"/>
                <w:b/>
                <w:bCs w:val="0"/>
                <w:iCs/>
                <w:szCs w:val="21"/>
              </w:rPr>
            </w:pPr>
            <w:r>
              <w:rPr>
                <w:rFonts w:hint="eastAsia" w:ascii="Times New Roman" w:hAnsi="Times New Roman" w:cs="Times New Roman"/>
                <w:b/>
                <w:bCs w:val="0"/>
                <w:iCs/>
                <w:szCs w:val="21"/>
                <w:lang w:val="en-US" w:eastAsia="zh-CN"/>
              </w:rPr>
              <w:t>4</w:t>
            </w:r>
            <w:r>
              <w:rPr>
                <w:rFonts w:hint="default" w:ascii="Times New Roman" w:hAnsi="Times New Roman" w:cs="Times New Roman"/>
                <w:b/>
                <w:bCs w:val="0"/>
                <w:iCs/>
                <w:szCs w:val="21"/>
              </w:rPr>
              <w:t>、</w:t>
            </w:r>
            <w:r>
              <w:rPr>
                <w:rFonts w:hint="default" w:ascii="Times New Roman" w:hAnsi="Times New Roman" w:cs="Times New Roman"/>
                <w:b/>
                <w:bCs w:val="0"/>
                <w:iCs/>
                <w:szCs w:val="21"/>
                <w:lang w:val="en-US" w:eastAsia="zh-CN"/>
              </w:rPr>
              <w:t>问：公司在推进“AI+高价值场景”应用落地以及搭建数据中台等数智化转型方面投入了较多资源。在当前整体营收下滑的宏观环境下，管理层如何平衡这些战略性投入与短期财务回报？下半年公司提到要“锚定年度目标”，请问管理层对全年营收的止跌回升是否有明确的预期和抓手？</w:t>
            </w:r>
          </w:p>
          <w:p w14:paraId="633A7D3D">
            <w:pPr>
              <w:spacing w:line="276" w:lineRule="auto"/>
              <w:ind w:firstLine="420" w:firstLineChars="200"/>
              <w:rPr>
                <w:rFonts w:hint="default" w:ascii="Times New Roman" w:hAnsi="Times New Roman" w:cs="Times New Roman"/>
                <w:bCs/>
                <w:iCs/>
                <w:szCs w:val="21"/>
              </w:rPr>
            </w:pPr>
            <w:r>
              <w:rPr>
                <w:rFonts w:hint="default" w:ascii="Times New Roman" w:hAnsi="Times New Roman" w:cs="Times New Roman"/>
                <w:bCs/>
                <w:iCs/>
                <w:szCs w:val="21"/>
              </w:rPr>
              <w:t>答：尊敬的投资者，您好！公司始终坚持以可量化的产出检验投入效率——</w:t>
            </w:r>
            <w:r>
              <w:rPr>
                <w:rFonts w:hint="eastAsia" w:ascii="Times New Roman" w:hAnsi="Times New Roman" w:cs="Times New Roman"/>
                <w:bCs/>
                <w:iCs/>
                <w:szCs w:val="21"/>
                <w:lang w:eastAsia="zh-CN"/>
              </w:rPr>
              <w:t>“</w:t>
            </w:r>
            <w:r>
              <w:rPr>
                <w:rFonts w:hint="default" w:ascii="Times New Roman" w:hAnsi="Times New Roman" w:cs="Times New Roman"/>
                <w:bCs/>
                <w:iCs/>
                <w:szCs w:val="21"/>
              </w:rPr>
              <w:t>鲸灵</w:t>
            </w:r>
            <w:r>
              <w:rPr>
                <w:rFonts w:hint="eastAsia" w:ascii="Times New Roman" w:hAnsi="Times New Roman" w:cs="Times New Roman"/>
                <w:bCs/>
                <w:iCs/>
                <w:szCs w:val="21"/>
                <w:lang w:eastAsia="zh-CN"/>
              </w:rPr>
              <w:t>”</w:t>
            </w:r>
            <w:r>
              <w:rPr>
                <w:rFonts w:hint="default" w:ascii="Times New Roman" w:hAnsi="Times New Roman" w:cs="Times New Roman"/>
                <w:bCs/>
                <w:iCs/>
                <w:szCs w:val="21"/>
              </w:rPr>
              <w:t>运营平台已经覆盖近万人次、激活率90%，经营分析效率大幅提升；集采平台平均降本率超15%。下半年，公司将重点从五个维度发力：一是深耕品牌精益运营，将品牌势能转化为经营增量；二是强化客房收益管理、严控采购能耗成本、强化金陵会员体系建设；三是推进人工智能在酒店核心场景落地应用、拓展集采供应链体系；四是加快酒水库存去化、推进食品科技新项目落地；五是高效落实各项改革任务、做好经营安全风险整治。公司将通过</w:t>
            </w:r>
            <w:r>
              <w:rPr>
                <w:rFonts w:hint="eastAsia" w:ascii="Times New Roman" w:hAnsi="Times New Roman" w:cs="Times New Roman"/>
                <w:bCs/>
                <w:iCs/>
                <w:szCs w:val="21"/>
                <w:lang w:eastAsia="zh-CN"/>
              </w:rPr>
              <w:t>“</w:t>
            </w:r>
            <w:r>
              <w:rPr>
                <w:rFonts w:hint="default" w:ascii="Times New Roman" w:hAnsi="Times New Roman" w:cs="Times New Roman"/>
                <w:bCs/>
                <w:iCs/>
                <w:szCs w:val="21"/>
              </w:rPr>
              <w:t>品牌焕新</w:t>
            </w:r>
            <w:r>
              <w:rPr>
                <w:rFonts w:hint="eastAsia" w:ascii="Times New Roman" w:hAnsi="Times New Roman" w:cs="Times New Roman"/>
                <w:bCs/>
                <w:iCs/>
                <w:szCs w:val="21"/>
                <w:lang w:val="en-US" w:eastAsia="zh-CN"/>
              </w:rPr>
              <w:t>·</w:t>
            </w:r>
            <w:r>
              <w:rPr>
                <w:rFonts w:hint="default" w:ascii="Times New Roman" w:hAnsi="Times New Roman" w:cs="Times New Roman"/>
                <w:bCs/>
                <w:iCs/>
                <w:szCs w:val="21"/>
              </w:rPr>
              <w:t>品质提升</w:t>
            </w:r>
            <w:r>
              <w:rPr>
                <w:rFonts w:hint="eastAsia" w:ascii="Times New Roman" w:hAnsi="Times New Roman" w:cs="Times New Roman"/>
                <w:bCs/>
                <w:iCs/>
                <w:szCs w:val="21"/>
                <w:lang w:val="en-US" w:eastAsia="zh-CN"/>
              </w:rPr>
              <w:t>·</w:t>
            </w:r>
            <w:r>
              <w:rPr>
                <w:rFonts w:hint="default" w:ascii="Times New Roman" w:hAnsi="Times New Roman" w:cs="Times New Roman"/>
                <w:bCs/>
                <w:iCs/>
                <w:szCs w:val="21"/>
              </w:rPr>
              <w:t>效益提振</w:t>
            </w:r>
            <w:r>
              <w:rPr>
                <w:rFonts w:hint="eastAsia" w:ascii="Times New Roman" w:hAnsi="Times New Roman" w:cs="Times New Roman"/>
                <w:bCs/>
                <w:iCs/>
                <w:szCs w:val="21"/>
                <w:lang w:eastAsia="zh-CN"/>
              </w:rPr>
              <w:t>”</w:t>
            </w:r>
            <w:r>
              <w:rPr>
                <w:rFonts w:hint="default" w:ascii="Times New Roman" w:hAnsi="Times New Roman" w:cs="Times New Roman"/>
                <w:bCs/>
                <w:iCs/>
                <w:szCs w:val="21"/>
              </w:rPr>
              <w:t>专项行动，全力推动经营效益企稳向好，以高质量经营成果回报投资者的信任。感谢您对公司的关注！</w:t>
            </w:r>
          </w:p>
          <w:p w14:paraId="7CDFE71D">
            <w:pPr>
              <w:pStyle w:val="11"/>
              <w:keepNext w:val="0"/>
              <w:keepLines w:val="0"/>
              <w:pageBreakBefore w:val="0"/>
              <w:widowControl w:val="0"/>
              <w:numPr>
                <w:ilvl w:val="0"/>
                <w:numId w:val="0"/>
              </w:numPr>
              <w:kinsoku/>
              <w:wordWrap/>
              <w:overflowPunct/>
              <w:topLinePunct w:val="0"/>
              <w:autoSpaceDE/>
              <w:autoSpaceDN/>
              <w:bidi w:val="0"/>
              <w:adjustRightInd/>
              <w:snapToGrid/>
              <w:spacing w:line="276" w:lineRule="auto"/>
              <w:jc w:val="both"/>
              <w:textAlignment w:val="auto"/>
              <w:rPr>
                <w:rFonts w:hint="default" w:ascii="Times New Roman" w:hAnsi="Times New Roman" w:cs="Times New Roman"/>
                <w:bCs/>
                <w:iCs/>
                <w:szCs w:val="21"/>
                <w:lang w:val="en-US" w:eastAsia="zh-CN"/>
              </w:rPr>
            </w:pPr>
          </w:p>
          <w:p w14:paraId="33FD2313">
            <w:pPr>
              <w:pStyle w:val="11"/>
              <w:keepNext w:val="0"/>
              <w:keepLines w:val="0"/>
              <w:pageBreakBefore w:val="0"/>
              <w:widowControl w:val="0"/>
              <w:numPr>
                <w:ilvl w:val="0"/>
                <w:numId w:val="0"/>
              </w:numPr>
              <w:kinsoku/>
              <w:wordWrap/>
              <w:overflowPunct/>
              <w:topLinePunct w:val="0"/>
              <w:autoSpaceDE/>
              <w:autoSpaceDN/>
              <w:bidi w:val="0"/>
              <w:adjustRightInd/>
              <w:snapToGrid/>
              <w:spacing w:line="276" w:lineRule="auto"/>
              <w:jc w:val="both"/>
              <w:textAlignment w:val="auto"/>
              <w:rPr>
                <w:rFonts w:hint="default" w:ascii="Times New Roman" w:hAnsi="Times New Roman" w:cs="Times New Roman"/>
                <w:bCs/>
                <w:iCs/>
                <w:szCs w:val="21"/>
                <w:lang w:val="en-US" w:eastAsia="zh-CN"/>
              </w:rPr>
            </w:pPr>
          </w:p>
          <w:p w14:paraId="4972787C">
            <w:pPr>
              <w:spacing w:line="276" w:lineRule="auto"/>
              <w:ind w:firstLine="422" w:firstLineChars="200"/>
              <w:rPr>
                <w:rFonts w:hint="default" w:ascii="Times New Roman" w:hAnsi="Times New Roman" w:cs="Times New Roman"/>
                <w:b/>
                <w:bCs w:val="0"/>
                <w:iCs/>
                <w:szCs w:val="21"/>
              </w:rPr>
            </w:pPr>
            <w:r>
              <w:rPr>
                <w:rFonts w:hint="eastAsia" w:ascii="Times New Roman" w:hAnsi="Times New Roman" w:cs="Times New Roman"/>
                <w:b/>
                <w:bCs w:val="0"/>
                <w:iCs/>
                <w:szCs w:val="21"/>
                <w:lang w:val="en-US" w:eastAsia="zh-CN"/>
              </w:rPr>
              <w:t>5</w:t>
            </w:r>
            <w:r>
              <w:rPr>
                <w:rFonts w:hint="default" w:ascii="Times New Roman" w:hAnsi="Times New Roman" w:cs="Times New Roman"/>
                <w:b/>
                <w:bCs w:val="0"/>
                <w:iCs/>
                <w:szCs w:val="21"/>
              </w:rPr>
              <w:t>、</w:t>
            </w:r>
            <w:r>
              <w:rPr>
                <w:rFonts w:hint="default" w:ascii="Times New Roman" w:hAnsi="Times New Roman" w:cs="Times New Roman"/>
                <w:b/>
                <w:bCs w:val="0"/>
                <w:iCs/>
                <w:szCs w:val="21"/>
                <w:lang w:val="en-US" w:eastAsia="zh-CN"/>
              </w:rPr>
              <w:t>问：周总您好，在仔细研读2026年半年度财报后，我对公司各业务板块的经营情况非常关注。报告显示，上半年酒店服务收入约2.67亿元（同比增长1.20%），其中客房收入增长3.79%，餐饮基本持平；但商品贸易（主要是酒类）收入约4.45亿元（同比下降7.06%），房屋租赁收入同比下降15.27%。请问管理层，面对白酒行业量价承压以及供应商渠道政策调整，苏糖公司下半年在优化产品结构和拓展即时零售、线上渠道方面有哪些实质性的破局举措？</w:t>
            </w:r>
          </w:p>
          <w:p w14:paraId="0E45FB27">
            <w:pPr>
              <w:spacing w:line="276" w:lineRule="auto"/>
              <w:ind w:firstLine="420" w:firstLineChars="200"/>
              <w:rPr>
                <w:rFonts w:hint="default" w:ascii="Times New Roman" w:hAnsi="Times New Roman" w:cs="Times New Roman"/>
                <w:bCs/>
                <w:iCs/>
                <w:szCs w:val="21"/>
              </w:rPr>
            </w:pPr>
            <w:r>
              <w:rPr>
                <w:rFonts w:hint="default" w:ascii="Times New Roman" w:hAnsi="Times New Roman" w:cs="Times New Roman"/>
                <w:bCs/>
                <w:iCs/>
                <w:szCs w:val="21"/>
              </w:rPr>
              <w:t>答：尊敬的投资者，您好！面对白酒行业深度调整的量价压力及供应商渠道政策变化，苏糖公司正加速从传统经销向</w:t>
            </w:r>
            <w:r>
              <w:rPr>
                <w:rFonts w:hint="eastAsia" w:ascii="Times New Roman" w:hAnsi="Times New Roman" w:cs="Times New Roman"/>
                <w:bCs/>
                <w:iCs/>
                <w:szCs w:val="21"/>
                <w:lang w:eastAsia="zh-CN"/>
              </w:rPr>
              <w:t>“</w:t>
            </w:r>
            <w:r>
              <w:rPr>
                <w:rFonts w:hint="default" w:ascii="Times New Roman" w:hAnsi="Times New Roman" w:cs="Times New Roman"/>
                <w:bCs/>
                <w:iCs/>
                <w:szCs w:val="21"/>
              </w:rPr>
              <w:t>全渠道运营</w:t>
            </w:r>
            <w:r>
              <w:rPr>
                <w:rFonts w:hint="eastAsia" w:ascii="Times New Roman" w:hAnsi="Times New Roman" w:cs="Times New Roman"/>
                <w:bCs/>
                <w:iCs/>
                <w:szCs w:val="21"/>
                <w:lang w:eastAsia="zh-CN"/>
              </w:rPr>
              <w:t>”</w:t>
            </w:r>
            <w:r>
              <w:rPr>
                <w:rFonts w:hint="default" w:ascii="Times New Roman" w:hAnsi="Times New Roman" w:cs="Times New Roman"/>
                <w:bCs/>
                <w:iCs/>
                <w:szCs w:val="21"/>
              </w:rPr>
              <w:t>破局转型。在产品结构方面，公司持续优化直营门店和联营专柜，实施分品牌精细化运营，深耕茅台、五粮液、奔富等主流品种在江苏地区的经销优势，充分发挥省内酒类流通行业主导运营商的品牌影响力。今年上半年在即时零售、线上渠道销量均同比增长50%，专场直播联动线下累计销售突破1.2亿元，</w:t>
            </w:r>
            <w:r>
              <w:rPr>
                <w:rFonts w:hint="eastAsia" w:ascii="Times New Roman" w:hAnsi="Times New Roman" w:cs="Times New Roman"/>
                <w:bCs/>
                <w:iCs/>
                <w:szCs w:val="21"/>
                <w:lang w:eastAsia="zh-CN"/>
              </w:rPr>
              <w:t>“</w:t>
            </w:r>
            <w:r>
              <w:rPr>
                <w:rFonts w:hint="default" w:ascii="Times New Roman" w:hAnsi="Times New Roman" w:cs="Times New Roman"/>
                <w:bCs/>
                <w:iCs/>
                <w:szCs w:val="21"/>
              </w:rPr>
              <w:t>奔富</w:t>
            </w:r>
            <w:r>
              <w:rPr>
                <w:rFonts w:hint="eastAsia" w:ascii="Times New Roman" w:hAnsi="Times New Roman" w:cs="Times New Roman"/>
                <w:bCs/>
                <w:iCs/>
                <w:szCs w:val="21"/>
                <w:lang w:eastAsia="zh-CN"/>
              </w:rPr>
              <w:t>”</w:t>
            </w:r>
            <w:r>
              <w:rPr>
                <w:rFonts w:hint="default" w:ascii="Times New Roman" w:hAnsi="Times New Roman" w:cs="Times New Roman"/>
                <w:bCs/>
                <w:iCs/>
                <w:szCs w:val="21"/>
              </w:rPr>
              <w:t>江苏首店销售额突破1400万元。下半年，苏糖公司将继续深化内部改革，强化</w:t>
            </w:r>
            <w:r>
              <w:rPr>
                <w:rFonts w:hint="eastAsia" w:ascii="Times New Roman" w:hAnsi="Times New Roman" w:cs="Times New Roman"/>
                <w:bCs/>
                <w:iCs/>
                <w:szCs w:val="21"/>
                <w:lang w:eastAsia="zh-CN"/>
              </w:rPr>
              <w:t>“</w:t>
            </w:r>
            <w:r>
              <w:rPr>
                <w:rFonts w:hint="default" w:ascii="Times New Roman" w:hAnsi="Times New Roman" w:cs="Times New Roman"/>
                <w:bCs/>
                <w:iCs/>
                <w:szCs w:val="21"/>
              </w:rPr>
              <w:t>直播引流+即时配送</w:t>
            </w:r>
            <w:r>
              <w:rPr>
                <w:rFonts w:hint="eastAsia" w:ascii="Times New Roman" w:hAnsi="Times New Roman" w:cs="Times New Roman"/>
                <w:bCs/>
                <w:iCs/>
                <w:szCs w:val="21"/>
                <w:lang w:eastAsia="zh-CN"/>
              </w:rPr>
              <w:t>”</w:t>
            </w:r>
            <w:r>
              <w:rPr>
                <w:rFonts w:hint="default" w:ascii="Times New Roman" w:hAnsi="Times New Roman" w:cs="Times New Roman"/>
                <w:bCs/>
                <w:iCs/>
                <w:szCs w:val="21"/>
              </w:rPr>
              <w:t>的消费闭环打法，拓展抖音等新零售平台的场景渗透，同时整合金陵体系内外业务及客户资源，围绕客户的潜在需求，创新打造消费新场景，多措并举对冲行业下行压力，不断培育新的增长动能。感谢您对公司的关注！</w:t>
            </w:r>
          </w:p>
          <w:p w14:paraId="6D8C85AF">
            <w:pPr>
              <w:pStyle w:val="11"/>
              <w:keepNext w:val="0"/>
              <w:keepLines w:val="0"/>
              <w:pageBreakBefore w:val="0"/>
              <w:widowControl w:val="0"/>
              <w:numPr>
                <w:ilvl w:val="0"/>
                <w:numId w:val="0"/>
              </w:numPr>
              <w:kinsoku/>
              <w:wordWrap/>
              <w:overflowPunct/>
              <w:topLinePunct w:val="0"/>
              <w:autoSpaceDE/>
              <w:autoSpaceDN/>
              <w:bidi w:val="0"/>
              <w:adjustRightInd/>
              <w:snapToGrid/>
              <w:spacing w:line="276" w:lineRule="auto"/>
              <w:jc w:val="both"/>
              <w:textAlignment w:val="auto"/>
              <w:rPr>
                <w:rFonts w:hint="default" w:ascii="Times New Roman" w:hAnsi="Times New Roman" w:cs="Times New Roman"/>
                <w:bCs/>
                <w:iCs/>
                <w:szCs w:val="21"/>
                <w:lang w:val="en-US" w:eastAsia="zh-CN"/>
              </w:rPr>
            </w:pPr>
          </w:p>
          <w:p w14:paraId="0F4D6568">
            <w:pPr>
              <w:pStyle w:val="11"/>
              <w:keepNext w:val="0"/>
              <w:keepLines w:val="0"/>
              <w:pageBreakBefore w:val="0"/>
              <w:widowControl w:val="0"/>
              <w:numPr>
                <w:ilvl w:val="0"/>
                <w:numId w:val="0"/>
              </w:numPr>
              <w:kinsoku/>
              <w:wordWrap/>
              <w:overflowPunct/>
              <w:topLinePunct w:val="0"/>
              <w:autoSpaceDE/>
              <w:autoSpaceDN/>
              <w:bidi w:val="0"/>
              <w:adjustRightInd/>
              <w:snapToGrid/>
              <w:spacing w:line="276" w:lineRule="auto"/>
              <w:jc w:val="both"/>
              <w:textAlignment w:val="auto"/>
              <w:rPr>
                <w:rFonts w:hint="default" w:ascii="Times New Roman" w:hAnsi="Times New Roman" w:cs="Times New Roman"/>
                <w:bCs/>
                <w:iCs/>
                <w:szCs w:val="21"/>
                <w:lang w:val="en-US" w:eastAsia="zh-CN"/>
              </w:rPr>
            </w:pPr>
          </w:p>
          <w:p w14:paraId="1663F081">
            <w:pPr>
              <w:spacing w:line="276" w:lineRule="auto"/>
              <w:ind w:firstLine="422" w:firstLineChars="200"/>
              <w:rPr>
                <w:rFonts w:hint="default" w:ascii="Times New Roman" w:hAnsi="Times New Roman" w:cs="Times New Roman"/>
                <w:b/>
                <w:bCs w:val="0"/>
                <w:iCs/>
                <w:szCs w:val="21"/>
              </w:rPr>
            </w:pPr>
            <w:r>
              <w:rPr>
                <w:rFonts w:hint="eastAsia" w:ascii="Times New Roman" w:hAnsi="Times New Roman" w:cs="Times New Roman"/>
                <w:b/>
                <w:bCs w:val="0"/>
                <w:iCs/>
                <w:szCs w:val="21"/>
                <w:lang w:val="en-US" w:eastAsia="zh-CN"/>
              </w:rPr>
              <w:t>6</w:t>
            </w:r>
            <w:r>
              <w:rPr>
                <w:rFonts w:hint="default" w:ascii="Times New Roman" w:hAnsi="Times New Roman" w:cs="Times New Roman"/>
                <w:b/>
                <w:bCs w:val="0"/>
                <w:iCs/>
                <w:szCs w:val="21"/>
              </w:rPr>
              <w:t>、</w:t>
            </w:r>
            <w:r>
              <w:rPr>
                <w:rFonts w:hint="default" w:ascii="Times New Roman" w:hAnsi="Times New Roman" w:cs="Times New Roman"/>
                <w:b/>
                <w:bCs w:val="0"/>
                <w:iCs/>
                <w:szCs w:val="21"/>
                <w:lang w:val="en-US" w:eastAsia="zh-CN"/>
              </w:rPr>
              <w:t>问：刘总您好，作为中小投资者，我非常关心公司的市值管理、投资者回报以及治理透明度。公司在2026年半年度报告中未提出利润分配或公积金转增股本预案，且近期公司股价在二级市场表现疲软（如9月18日当周下跌3.43%）。请问公司在落实“提质增效重回报”行动方案时，除了做强主业和内部业态流量互通（如股东权益回馈专属礼包），未来是否有明确的股份回购计划或提高分红比例的路径规划，以提振目前二级市场投资者的信心？</w:t>
            </w:r>
          </w:p>
          <w:p w14:paraId="1923A4E5">
            <w:pPr>
              <w:spacing w:line="276" w:lineRule="auto"/>
              <w:ind w:firstLine="420" w:firstLineChars="200"/>
              <w:rPr>
                <w:rFonts w:hint="default" w:ascii="Times New Roman" w:hAnsi="Times New Roman" w:cs="Times New Roman"/>
                <w:bCs/>
                <w:iCs/>
                <w:szCs w:val="21"/>
              </w:rPr>
            </w:pPr>
            <w:r>
              <w:rPr>
                <w:rFonts w:hint="default" w:ascii="Times New Roman" w:hAnsi="Times New Roman" w:cs="Times New Roman"/>
                <w:bCs/>
                <w:iCs/>
                <w:szCs w:val="21"/>
              </w:rPr>
              <w:t>答：尊敬的投资者，您好！感谢您对公司的关注与建议。关于股份回购，公司会根据宏观环境、资本市场变动及自身实际，做好市值管理相关工作，如有回购计划，将严格按照规定履行信息披露义务。未来公司将在满足分红条件的前提下，综合考量当期盈利水平、营运资金需求及资本开支规划，在保障公司稳健经营与长远发展的基础上，统筹平衡股东回报，力争保持分红政策的连续性与合理性。当前公司正扎实推进</w:t>
            </w:r>
            <w:r>
              <w:rPr>
                <w:rFonts w:hint="eastAsia" w:ascii="Times New Roman" w:hAnsi="Times New Roman" w:cs="Times New Roman"/>
                <w:bCs/>
                <w:iCs/>
                <w:szCs w:val="21"/>
                <w:lang w:eastAsia="zh-CN"/>
              </w:rPr>
              <w:t>“</w:t>
            </w:r>
            <w:r>
              <w:rPr>
                <w:rFonts w:hint="default" w:ascii="Times New Roman" w:hAnsi="Times New Roman" w:cs="Times New Roman"/>
                <w:bCs/>
                <w:iCs/>
                <w:szCs w:val="21"/>
              </w:rPr>
              <w:t>提质增效重回报</w:t>
            </w:r>
            <w:r>
              <w:rPr>
                <w:rFonts w:hint="eastAsia" w:ascii="Times New Roman" w:hAnsi="Times New Roman" w:cs="Times New Roman"/>
                <w:bCs/>
                <w:iCs/>
                <w:szCs w:val="21"/>
                <w:lang w:eastAsia="zh-CN"/>
              </w:rPr>
              <w:t>”</w:t>
            </w:r>
            <w:r>
              <w:rPr>
                <w:rFonts w:hint="default" w:ascii="Times New Roman" w:hAnsi="Times New Roman" w:cs="Times New Roman"/>
                <w:bCs/>
                <w:iCs/>
                <w:szCs w:val="21"/>
              </w:rPr>
              <w:t>专项行动，以高质量发展支撑资本市场价值，通过价值创造、价值经营、价值实现协同推进，实现内在价值与市场价值的动态均衡与螺旋式上升。感谢您对公司的关注！</w:t>
            </w:r>
          </w:p>
          <w:p w14:paraId="40634CF6">
            <w:pPr>
              <w:pStyle w:val="11"/>
              <w:keepNext w:val="0"/>
              <w:keepLines w:val="0"/>
              <w:pageBreakBefore w:val="0"/>
              <w:widowControl w:val="0"/>
              <w:numPr>
                <w:ilvl w:val="0"/>
                <w:numId w:val="0"/>
              </w:numPr>
              <w:kinsoku/>
              <w:wordWrap/>
              <w:overflowPunct/>
              <w:topLinePunct w:val="0"/>
              <w:autoSpaceDE/>
              <w:autoSpaceDN/>
              <w:bidi w:val="0"/>
              <w:adjustRightInd/>
              <w:snapToGrid/>
              <w:spacing w:line="276" w:lineRule="auto"/>
              <w:jc w:val="both"/>
              <w:textAlignment w:val="auto"/>
              <w:rPr>
                <w:rFonts w:hint="default" w:ascii="Times New Roman" w:hAnsi="Times New Roman" w:cs="Times New Roman"/>
                <w:bCs/>
                <w:iCs/>
                <w:szCs w:val="21"/>
                <w:lang w:val="en-US" w:eastAsia="zh-CN"/>
              </w:rPr>
            </w:pPr>
          </w:p>
          <w:p w14:paraId="1E91E902">
            <w:pPr>
              <w:pStyle w:val="11"/>
              <w:keepNext w:val="0"/>
              <w:keepLines w:val="0"/>
              <w:pageBreakBefore w:val="0"/>
              <w:widowControl w:val="0"/>
              <w:numPr>
                <w:ilvl w:val="0"/>
                <w:numId w:val="0"/>
              </w:numPr>
              <w:kinsoku/>
              <w:wordWrap/>
              <w:overflowPunct/>
              <w:topLinePunct w:val="0"/>
              <w:autoSpaceDE/>
              <w:autoSpaceDN/>
              <w:bidi w:val="0"/>
              <w:adjustRightInd/>
              <w:snapToGrid/>
              <w:spacing w:line="276" w:lineRule="auto"/>
              <w:jc w:val="both"/>
              <w:textAlignment w:val="auto"/>
              <w:rPr>
                <w:rFonts w:hint="default" w:ascii="Times New Roman" w:hAnsi="Times New Roman" w:cs="Times New Roman"/>
                <w:bCs/>
                <w:iCs/>
                <w:szCs w:val="21"/>
                <w:lang w:val="en-US" w:eastAsia="zh-CN"/>
              </w:rPr>
            </w:pPr>
          </w:p>
          <w:p w14:paraId="053AF318">
            <w:pPr>
              <w:spacing w:line="276" w:lineRule="auto"/>
              <w:ind w:firstLine="422" w:firstLineChars="200"/>
              <w:rPr>
                <w:rFonts w:hint="default" w:ascii="Times New Roman" w:hAnsi="Times New Roman" w:cs="Times New Roman"/>
                <w:b/>
                <w:bCs w:val="0"/>
                <w:iCs/>
                <w:szCs w:val="21"/>
              </w:rPr>
            </w:pPr>
            <w:r>
              <w:rPr>
                <w:rFonts w:hint="eastAsia" w:ascii="Times New Roman" w:hAnsi="Times New Roman" w:cs="Times New Roman"/>
                <w:b/>
                <w:bCs w:val="0"/>
                <w:iCs/>
                <w:szCs w:val="21"/>
                <w:lang w:val="en-US" w:eastAsia="zh-CN"/>
              </w:rPr>
              <w:t>7</w:t>
            </w:r>
            <w:r>
              <w:rPr>
                <w:rFonts w:hint="default" w:ascii="Times New Roman" w:hAnsi="Times New Roman" w:cs="Times New Roman"/>
                <w:b/>
                <w:bCs w:val="0"/>
                <w:iCs/>
                <w:szCs w:val="21"/>
              </w:rPr>
              <w:t>、</w:t>
            </w:r>
            <w:r>
              <w:rPr>
                <w:rFonts w:hint="default" w:ascii="Times New Roman" w:hAnsi="Times New Roman" w:cs="Times New Roman"/>
                <w:b/>
                <w:bCs w:val="0"/>
                <w:iCs/>
                <w:szCs w:val="21"/>
                <w:lang w:val="en-US" w:eastAsia="zh-CN"/>
              </w:rPr>
              <w:t>问：我注意到截至2026年6月30日，公司A股股东户数为2.21万户，较上期减少0.75%，户均持有流通A股数量增加。此外，前十大流通股东中出现了基金减持（如富国中证旅游主题ETF减持251.44万股）和新进股东的情况。请问董秘如何看待当前公司股东结构的变化？在信息披露方面，公司将如何更及时、透明地向中小股东传递“金陵”品牌焕新及连锁酒店拓展（目前签约总数达253家）的核心价值？</w:t>
            </w:r>
          </w:p>
          <w:p w14:paraId="498624D4">
            <w:pPr>
              <w:spacing w:line="276" w:lineRule="auto"/>
              <w:ind w:firstLine="420" w:firstLineChars="200"/>
              <w:rPr>
                <w:rFonts w:hint="default" w:ascii="Times New Roman" w:hAnsi="Times New Roman" w:cs="Times New Roman"/>
                <w:bCs/>
                <w:iCs/>
                <w:szCs w:val="21"/>
              </w:rPr>
            </w:pPr>
            <w:r>
              <w:rPr>
                <w:rFonts w:hint="default" w:ascii="Times New Roman" w:hAnsi="Times New Roman" w:cs="Times New Roman"/>
                <w:bCs/>
                <w:iCs/>
                <w:szCs w:val="21"/>
              </w:rPr>
              <w:t>答：尊敬的投资者，您好！公司股东户数基本平稳、户均持股增加，反映出持股结构趋于集中，长线资金对公司的价值认可度在提升；前十大流通股东中出现的基金调仓属于正常的市场化行为。在信息披露与价值传递方面，公司已连续五年获得上交所信息披露</w:t>
            </w:r>
            <w:r>
              <w:rPr>
                <w:rFonts w:hint="eastAsia" w:ascii="Times New Roman" w:hAnsi="Times New Roman" w:cs="Times New Roman"/>
                <w:bCs/>
                <w:iCs/>
                <w:szCs w:val="21"/>
                <w:lang w:eastAsia="zh-CN"/>
              </w:rPr>
              <w:t>“</w:t>
            </w:r>
            <w:r>
              <w:rPr>
                <w:rFonts w:hint="default" w:ascii="Times New Roman" w:hAnsi="Times New Roman" w:cs="Times New Roman"/>
                <w:bCs/>
                <w:iCs/>
                <w:szCs w:val="21"/>
              </w:rPr>
              <w:t>A</w:t>
            </w:r>
            <w:r>
              <w:rPr>
                <w:rFonts w:hint="eastAsia" w:ascii="Times New Roman" w:hAnsi="Times New Roman" w:cs="Times New Roman"/>
                <w:bCs/>
                <w:iCs/>
                <w:szCs w:val="21"/>
                <w:lang w:eastAsia="zh-CN"/>
              </w:rPr>
              <w:t>”</w:t>
            </w:r>
            <w:r>
              <w:rPr>
                <w:rFonts w:hint="default" w:ascii="Times New Roman" w:hAnsi="Times New Roman" w:cs="Times New Roman"/>
                <w:bCs/>
                <w:iCs/>
                <w:szCs w:val="21"/>
              </w:rPr>
              <w:t>级评价、连续三年入选年报业绩说明会优秀实践，公司将在此基础上进一步加大自愿性披露力度，在定期报告、临时公告及业绩说明会中更系统地解读</w:t>
            </w:r>
            <w:r>
              <w:rPr>
                <w:rFonts w:hint="eastAsia" w:ascii="Times New Roman" w:hAnsi="Times New Roman" w:cs="Times New Roman"/>
                <w:bCs/>
                <w:iCs/>
                <w:szCs w:val="21"/>
                <w:lang w:eastAsia="zh-CN"/>
              </w:rPr>
              <w:t>“</w:t>
            </w:r>
            <w:r>
              <w:rPr>
                <w:rFonts w:hint="default" w:ascii="Times New Roman" w:hAnsi="Times New Roman" w:cs="Times New Roman"/>
                <w:bCs/>
                <w:iCs/>
                <w:szCs w:val="21"/>
              </w:rPr>
              <w:t>金陵</w:t>
            </w:r>
            <w:r>
              <w:rPr>
                <w:rFonts w:hint="eastAsia" w:ascii="Times New Roman" w:hAnsi="Times New Roman" w:cs="Times New Roman"/>
                <w:bCs/>
                <w:iCs/>
                <w:szCs w:val="21"/>
                <w:lang w:eastAsia="zh-CN"/>
              </w:rPr>
              <w:t>”</w:t>
            </w:r>
            <w:r>
              <w:rPr>
                <w:rFonts w:hint="default" w:ascii="Times New Roman" w:hAnsi="Times New Roman" w:cs="Times New Roman"/>
                <w:bCs/>
                <w:iCs/>
                <w:szCs w:val="21"/>
              </w:rPr>
              <w:t>品牌焕新、扩能提质、数智转型，对酒店各类收入及品牌溢价的拉动效应，并通过图文并茂的ESG报告和</w:t>
            </w:r>
            <w:r>
              <w:rPr>
                <w:rFonts w:hint="eastAsia" w:ascii="Times New Roman" w:hAnsi="Times New Roman" w:cs="Times New Roman"/>
                <w:bCs/>
                <w:iCs/>
                <w:szCs w:val="21"/>
                <w:lang w:eastAsia="zh-CN"/>
              </w:rPr>
              <w:t>“</w:t>
            </w:r>
            <w:r>
              <w:rPr>
                <w:rFonts w:hint="default" w:ascii="Times New Roman" w:hAnsi="Times New Roman" w:cs="Times New Roman"/>
                <w:bCs/>
                <w:iCs/>
                <w:szCs w:val="21"/>
              </w:rPr>
              <w:t>我是股东</w:t>
            </w:r>
            <w:r>
              <w:rPr>
                <w:rFonts w:hint="eastAsia" w:ascii="Times New Roman" w:hAnsi="Times New Roman" w:cs="Times New Roman"/>
                <w:bCs/>
                <w:iCs/>
                <w:szCs w:val="21"/>
                <w:lang w:eastAsia="zh-CN"/>
              </w:rPr>
              <w:t>”</w:t>
            </w:r>
            <w:r>
              <w:rPr>
                <w:rFonts w:hint="default" w:ascii="Times New Roman" w:hAnsi="Times New Roman" w:cs="Times New Roman"/>
                <w:bCs/>
                <w:iCs/>
                <w:szCs w:val="21"/>
              </w:rPr>
              <w:t>走进上市公司等活动，持续增强信息透明度和市场认同度。感谢您对公司的关注！</w:t>
            </w:r>
            <w:bookmarkStart w:id="0" w:name="_GoBack"/>
            <w:bookmarkEnd w:id="0"/>
          </w:p>
          <w:p w14:paraId="72499DDB">
            <w:pPr>
              <w:pStyle w:val="11"/>
              <w:keepNext w:val="0"/>
              <w:keepLines w:val="0"/>
              <w:pageBreakBefore w:val="0"/>
              <w:widowControl w:val="0"/>
              <w:numPr>
                <w:ilvl w:val="0"/>
                <w:numId w:val="0"/>
              </w:numPr>
              <w:kinsoku/>
              <w:wordWrap/>
              <w:overflowPunct/>
              <w:topLinePunct w:val="0"/>
              <w:autoSpaceDE/>
              <w:autoSpaceDN/>
              <w:bidi w:val="0"/>
              <w:adjustRightInd/>
              <w:snapToGrid/>
              <w:spacing w:line="276" w:lineRule="auto"/>
              <w:jc w:val="both"/>
              <w:textAlignment w:val="auto"/>
              <w:rPr>
                <w:rFonts w:hint="default" w:ascii="Times New Roman" w:hAnsi="Times New Roman" w:cs="Times New Roman"/>
                <w:bCs/>
                <w:iCs/>
                <w:szCs w:val="21"/>
                <w:lang w:val="en-US" w:eastAsia="zh-CN"/>
              </w:rPr>
            </w:pPr>
          </w:p>
          <w:p w14:paraId="2324EFEA">
            <w:pPr>
              <w:pStyle w:val="11"/>
              <w:keepNext w:val="0"/>
              <w:keepLines w:val="0"/>
              <w:pageBreakBefore w:val="0"/>
              <w:widowControl w:val="0"/>
              <w:numPr>
                <w:ilvl w:val="0"/>
                <w:numId w:val="0"/>
              </w:numPr>
              <w:kinsoku/>
              <w:wordWrap/>
              <w:overflowPunct/>
              <w:topLinePunct w:val="0"/>
              <w:autoSpaceDE/>
              <w:autoSpaceDN/>
              <w:bidi w:val="0"/>
              <w:adjustRightInd/>
              <w:snapToGrid/>
              <w:spacing w:line="276" w:lineRule="auto"/>
              <w:jc w:val="both"/>
              <w:textAlignment w:val="auto"/>
              <w:rPr>
                <w:rFonts w:hint="default" w:ascii="Times New Roman" w:hAnsi="Times New Roman" w:cs="Times New Roman"/>
                <w:bCs/>
                <w:iCs/>
                <w:szCs w:val="21"/>
                <w:lang w:val="en-US" w:eastAsia="zh-CN"/>
              </w:rPr>
            </w:pPr>
          </w:p>
          <w:p w14:paraId="038828E8">
            <w:pPr>
              <w:spacing w:line="276" w:lineRule="auto"/>
              <w:ind w:firstLine="422" w:firstLineChars="200"/>
              <w:rPr>
                <w:rFonts w:hint="default" w:ascii="Times New Roman" w:hAnsi="Times New Roman" w:cs="Times New Roman"/>
                <w:b/>
                <w:bCs w:val="0"/>
                <w:iCs/>
                <w:szCs w:val="21"/>
              </w:rPr>
            </w:pPr>
            <w:r>
              <w:rPr>
                <w:rFonts w:hint="eastAsia" w:ascii="Times New Roman" w:hAnsi="Times New Roman" w:cs="Times New Roman"/>
                <w:b/>
                <w:bCs w:val="0"/>
                <w:iCs/>
                <w:szCs w:val="21"/>
                <w:lang w:val="en-US" w:eastAsia="zh-CN"/>
              </w:rPr>
              <w:t>8</w:t>
            </w:r>
            <w:r>
              <w:rPr>
                <w:rFonts w:hint="default" w:ascii="Times New Roman" w:hAnsi="Times New Roman" w:cs="Times New Roman"/>
                <w:b/>
                <w:bCs w:val="0"/>
                <w:iCs/>
                <w:szCs w:val="21"/>
              </w:rPr>
              <w:t>、</w:t>
            </w:r>
            <w:r>
              <w:rPr>
                <w:rFonts w:hint="default" w:ascii="Times New Roman" w:hAnsi="Times New Roman" w:cs="Times New Roman"/>
                <w:b/>
                <w:bCs w:val="0"/>
                <w:iCs/>
                <w:szCs w:val="21"/>
                <w:lang w:val="en-US" w:eastAsia="zh-CN"/>
              </w:rPr>
              <w:t>问：公司2026年上半年整体毛利率小幅回落，且面临周边租赁市场竞争加剧、酒类流通行业深度调整等多重外部挑战。请问独董团队在评估管理层提出的“降本挖潜”和“聚焦提质拓新”等经营举措时，如何发挥监督作用，确保这些举措切实转化为利润？同时，针对公司目前的低资产负债率，独董团队在评估公司的投融资决策时，是否认为公司应适度利用财务杠杆来加快酒店连锁化布局或协同产业的规模化发展，以打破目前的营收增长瓶颈？</w:t>
            </w:r>
          </w:p>
          <w:p w14:paraId="7B78023F">
            <w:pPr>
              <w:spacing w:line="276" w:lineRule="auto"/>
              <w:ind w:firstLine="420" w:firstLineChars="200"/>
              <w:rPr>
                <w:rFonts w:hint="default" w:ascii="Times New Roman" w:hAnsi="Times New Roman" w:cs="Times New Roman"/>
                <w:bCs/>
                <w:iCs/>
                <w:szCs w:val="21"/>
              </w:rPr>
            </w:pPr>
            <w:r>
              <w:rPr>
                <w:rFonts w:hint="default" w:ascii="Times New Roman" w:hAnsi="Times New Roman" w:cs="Times New Roman"/>
                <w:bCs/>
                <w:iCs/>
                <w:szCs w:val="21"/>
              </w:rPr>
              <w:t>答：尊敬的投资者，您好！关于独立董事的监督履职，公司建立了</w:t>
            </w:r>
            <w:r>
              <w:rPr>
                <w:rFonts w:hint="eastAsia" w:ascii="Times New Roman" w:hAnsi="Times New Roman" w:cs="Times New Roman"/>
                <w:bCs/>
                <w:iCs/>
                <w:szCs w:val="21"/>
                <w:lang w:eastAsia="zh-CN"/>
              </w:rPr>
              <w:t>“</w:t>
            </w:r>
            <w:r>
              <w:rPr>
                <w:rFonts w:hint="default" w:ascii="Times New Roman" w:hAnsi="Times New Roman" w:cs="Times New Roman"/>
                <w:bCs/>
                <w:iCs/>
                <w:szCs w:val="21"/>
              </w:rPr>
              <w:t>会前调研+现场问诊+专业献策</w:t>
            </w:r>
            <w:r>
              <w:rPr>
                <w:rFonts w:hint="eastAsia" w:ascii="Times New Roman" w:hAnsi="Times New Roman" w:cs="Times New Roman"/>
                <w:bCs/>
                <w:iCs/>
                <w:szCs w:val="21"/>
                <w:lang w:eastAsia="zh-CN"/>
              </w:rPr>
              <w:t>”</w:t>
            </w:r>
            <w:r>
              <w:rPr>
                <w:rFonts w:hint="default" w:ascii="Times New Roman" w:hAnsi="Times New Roman" w:cs="Times New Roman"/>
                <w:bCs/>
                <w:iCs/>
                <w:szCs w:val="21"/>
              </w:rPr>
              <w:t>的一线监督赋能机制，组织独立董事赴金陵饭店写字楼、苏糖公司实地调研，围绕品牌建设、渠道拓展、数智化转型、内控优化等核心议题与经营层深入研讨，针对消费市场迭代、合规管控、业务转型等痛点提出多项可落地优化建议，将监督职能从会议室延伸至经营末梢。同时，公司已将市值管理、ESG绩效等纳入董事会及管理层考核，独立董事通过审计委员会、薪酬与考核委员会等专门委员会，对降本挖潜、提质增效等经营举措的实施效果进行持续跟踪与评估。关于资产负债率，公司将按照</w:t>
            </w:r>
            <w:r>
              <w:rPr>
                <w:rFonts w:hint="eastAsia" w:ascii="Times New Roman" w:hAnsi="Times New Roman" w:cs="Times New Roman"/>
                <w:bCs/>
                <w:iCs/>
                <w:szCs w:val="21"/>
                <w:lang w:eastAsia="zh-CN"/>
              </w:rPr>
              <w:t>“</w:t>
            </w:r>
            <w:r>
              <w:rPr>
                <w:rFonts w:hint="default" w:ascii="Times New Roman" w:hAnsi="Times New Roman" w:cs="Times New Roman"/>
                <w:bCs/>
                <w:iCs/>
                <w:szCs w:val="21"/>
              </w:rPr>
              <w:t>聚焦高质量发展、聚力创一流企业</w:t>
            </w:r>
            <w:r>
              <w:rPr>
                <w:rFonts w:hint="eastAsia" w:ascii="Times New Roman" w:hAnsi="Times New Roman" w:cs="Times New Roman"/>
                <w:bCs/>
                <w:iCs/>
                <w:szCs w:val="21"/>
                <w:lang w:eastAsia="zh-CN"/>
              </w:rPr>
              <w:t>”</w:t>
            </w:r>
            <w:r>
              <w:rPr>
                <w:rFonts w:hint="default" w:ascii="Times New Roman" w:hAnsi="Times New Roman" w:cs="Times New Roman"/>
                <w:bCs/>
                <w:iCs/>
                <w:szCs w:val="21"/>
              </w:rPr>
              <w:t>的目标要求，以品牌化、数智化、资本化为引擎推进发展。公司将适度利用财务杠杆加快连锁化布局，在审慎评估投融资风险与资金需求的基础上，平衡好稳健经营与增长动力的关系，积极研究优化资本结构、拓展融资渠道的可行方案，以打破营收增长瓶颈，为投资者创造更大价值。感谢您对公司的关注！</w:t>
            </w:r>
          </w:p>
          <w:p w14:paraId="1FF6FF77">
            <w:pPr>
              <w:pStyle w:val="11"/>
              <w:keepNext w:val="0"/>
              <w:keepLines w:val="0"/>
              <w:pageBreakBefore w:val="0"/>
              <w:widowControl w:val="0"/>
              <w:numPr>
                <w:ilvl w:val="0"/>
                <w:numId w:val="0"/>
              </w:numPr>
              <w:kinsoku/>
              <w:wordWrap/>
              <w:overflowPunct/>
              <w:topLinePunct w:val="0"/>
              <w:autoSpaceDE/>
              <w:autoSpaceDN/>
              <w:bidi w:val="0"/>
              <w:adjustRightInd/>
              <w:snapToGrid/>
              <w:spacing w:line="276" w:lineRule="auto"/>
              <w:jc w:val="both"/>
              <w:textAlignment w:val="auto"/>
              <w:rPr>
                <w:rFonts w:hint="default" w:ascii="Times New Roman" w:hAnsi="Times New Roman" w:cs="Times New Roman"/>
                <w:bCs/>
                <w:iCs/>
                <w:szCs w:val="21"/>
                <w:lang w:val="en-US" w:eastAsia="zh-CN"/>
              </w:rPr>
            </w:pPr>
          </w:p>
          <w:p w14:paraId="1F1DFC77">
            <w:pPr>
              <w:pStyle w:val="11"/>
              <w:numPr>
                <w:ilvl w:val="0"/>
                <w:numId w:val="1"/>
              </w:numPr>
              <w:spacing w:line="276" w:lineRule="auto"/>
              <w:ind w:firstLineChars="0"/>
              <w:rPr>
                <w:rFonts w:hint="default" w:ascii="Times New Roman" w:hAnsi="Times New Roman" w:cs="Times New Roman"/>
                <w:iCs/>
                <w:szCs w:val="21"/>
              </w:rPr>
            </w:pPr>
            <w:r>
              <w:rPr>
                <w:rFonts w:hint="default" w:ascii="Times New Roman" w:hAnsi="Times New Roman" w:cs="Times New Roman" w:eastAsiaTheme="minorEastAsia"/>
                <w:bCs/>
                <w:iCs/>
                <w:kern w:val="2"/>
                <w:sz w:val="21"/>
                <w:szCs w:val="21"/>
                <w:lang w:val="en-US" w:eastAsia="zh-CN" w:bidi="ar-SA"/>
              </w:rPr>
              <w:t>公司</w:t>
            </w:r>
            <w:r>
              <w:rPr>
                <w:rFonts w:hint="eastAsia" w:ascii="Times New Roman" w:hAnsi="Times New Roman" w:cs="Times New Roman"/>
                <w:bCs/>
                <w:iCs/>
                <w:kern w:val="2"/>
                <w:sz w:val="21"/>
                <w:szCs w:val="21"/>
                <w:lang w:val="en-US" w:eastAsia="zh-CN" w:bidi="ar-SA"/>
              </w:rPr>
              <w:t>董事长</w:t>
            </w:r>
            <w:r>
              <w:rPr>
                <w:rFonts w:hint="default" w:ascii="Times New Roman" w:hAnsi="Times New Roman" w:cs="Times New Roman" w:eastAsiaTheme="minorEastAsia"/>
                <w:bCs/>
                <w:iCs/>
                <w:kern w:val="2"/>
                <w:sz w:val="21"/>
                <w:szCs w:val="21"/>
                <w:lang w:val="en-US" w:eastAsia="zh-CN" w:bidi="ar-SA"/>
              </w:rPr>
              <w:t>张胜新先生宣布活动结束。</w:t>
            </w:r>
          </w:p>
        </w:tc>
      </w:tr>
      <w:tr w14:paraId="016BFB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6" w:hRule="atLeast"/>
        </w:trPr>
        <w:tc>
          <w:tcPr>
            <w:tcW w:w="2469" w:type="dxa"/>
            <w:vAlign w:val="center"/>
          </w:tcPr>
          <w:p w14:paraId="46FE48EF">
            <w:pPr>
              <w:ind w:right="315"/>
              <w:jc w:val="center"/>
              <w:rPr>
                <w:rFonts w:asciiTheme="minorEastAsia" w:hAnsiTheme="minorEastAsia"/>
                <w:b/>
                <w:sz w:val="24"/>
                <w:szCs w:val="21"/>
              </w:rPr>
            </w:pPr>
            <w:r>
              <w:rPr>
                <w:rFonts w:hint="eastAsia" w:asciiTheme="minorEastAsia" w:hAnsiTheme="minorEastAsia"/>
                <w:b/>
                <w:sz w:val="24"/>
                <w:szCs w:val="21"/>
              </w:rPr>
              <w:t>附件清单（如有）</w:t>
            </w:r>
          </w:p>
        </w:tc>
        <w:tc>
          <w:tcPr>
            <w:tcW w:w="6520" w:type="dxa"/>
            <w:vAlign w:val="center"/>
          </w:tcPr>
          <w:p w14:paraId="2C8EF77B">
            <w:pPr>
              <w:ind w:right="315"/>
              <w:jc w:val="center"/>
              <w:rPr>
                <w:rFonts w:asciiTheme="minorEastAsia" w:hAnsiTheme="minorEastAsia"/>
                <w:szCs w:val="21"/>
              </w:rPr>
            </w:pPr>
            <w:r>
              <w:rPr>
                <w:rFonts w:asciiTheme="minorEastAsia" w:hAnsiTheme="minorEastAsia"/>
                <w:szCs w:val="21"/>
              </w:rPr>
              <w:t>无</w:t>
            </w:r>
          </w:p>
        </w:tc>
      </w:tr>
    </w:tbl>
    <w:p w14:paraId="4AB500FC">
      <w:pPr>
        <w:ind w:right="1435"/>
        <w:rPr>
          <w:rFonts w:asciiTheme="majorEastAsia" w:hAnsiTheme="majorEastAsia" w:eastAsiaTheme="majorEastAsia"/>
          <w:vanish/>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C8755C"/>
    <w:multiLevelType w:val="multilevel"/>
    <w:tmpl w:val="18C8755C"/>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jY2Y0MjhkMDA0OTAzMjVmNmQ0ZDI1YzNiZGY3YzQifQ=="/>
  </w:docVars>
  <w:rsids>
    <w:rsidRoot w:val="00AD0253"/>
    <w:rsid w:val="000B27C1"/>
    <w:rsid w:val="000C51D0"/>
    <w:rsid w:val="000F23C9"/>
    <w:rsid w:val="000F5EB6"/>
    <w:rsid w:val="00105951"/>
    <w:rsid w:val="001724AD"/>
    <w:rsid w:val="001C0147"/>
    <w:rsid w:val="001E56FD"/>
    <w:rsid w:val="0020504C"/>
    <w:rsid w:val="00284B84"/>
    <w:rsid w:val="00292687"/>
    <w:rsid w:val="002932E0"/>
    <w:rsid w:val="002D29FE"/>
    <w:rsid w:val="002E66DC"/>
    <w:rsid w:val="00310FEA"/>
    <w:rsid w:val="00320904"/>
    <w:rsid w:val="003351C1"/>
    <w:rsid w:val="00351F02"/>
    <w:rsid w:val="00366045"/>
    <w:rsid w:val="00370108"/>
    <w:rsid w:val="003A14B2"/>
    <w:rsid w:val="003A3C4F"/>
    <w:rsid w:val="003A707A"/>
    <w:rsid w:val="003B0F8C"/>
    <w:rsid w:val="003D3B62"/>
    <w:rsid w:val="003E3E7C"/>
    <w:rsid w:val="003F747A"/>
    <w:rsid w:val="00442C8C"/>
    <w:rsid w:val="0044749B"/>
    <w:rsid w:val="00452D73"/>
    <w:rsid w:val="00491A7D"/>
    <w:rsid w:val="00493CEC"/>
    <w:rsid w:val="004A140C"/>
    <w:rsid w:val="004B0343"/>
    <w:rsid w:val="004B5518"/>
    <w:rsid w:val="004F129B"/>
    <w:rsid w:val="005233F4"/>
    <w:rsid w:val="00546B6A"/>
    <w:rsid w:val="00555615"/>
    <w:rsid w:val="005621A4"/>
    <w:rsid w:val="005D2A4C"/>
    <w:rsid w:val="0064025B"/>
    <w:rsid w:val="006C77E3"/>
    <w:rsid w:val="006D3FA9"/>
    <w:rsid w:val="00701CB8"/>
    <w:rsid w:val="007113A6"/>
    <w:rsid w:val="007677F1"/>
    <w:rsid w:val="007B1E44"/>
    <w:rsid w:val="00832CD7"/>
    <w:rsid w:val="008B4D1F"/>
    <w:rsid w:val="008F2C96"/>
    <w:rsid w:val="00934538"/>
    <w:rsid w:val="00985AAD"/>
    <w:rsid w:val="009A593A"/>
    <w:rsid w:val="009C0BF9"/>
    <w:rsid w:val="009E7F6E"/>
    <w:rsid w:val="00A204E8"/>
    <w:rsid w:val="00A36DB9"/>
    <w:rsid w:val="00A42D8F"/>
    <w:rsid w:val="00AA7C38"/>
    <w:rsid w:val="00AD0253"/>
    <w:rsid w:val="00B43451"/>
    <w:rsid w:val="00B46403"/>
    <w:rsid w:val="00B50DDF"/>
    <w:rsid w:val="00BA799B"/>
    <w:rsid w:val="00BB7261"/>
    <w:rsid w:val="00C0293C"/>
    <w:rsid w:val="00C03B6D"/>
    <w:rsid w:val="00C27A75"/>
    <w:rsid w:val="00C36984"/>
    <w:rsid w:val="00C40677"/>
    <w:rsid w:val="00C449C9"/>
    <w:rsid w:val="00C56135"/>
    <w:rsid w:val="00CC7B93"/>
    <w:rsid w:val="00CE0C73"/>
    <w:rsid w:val="00CF4B44"/>
    <w:rsid w:val="00D16622"/>
    <w:rsid w:val="00D30FCD"/>
    <w:rsid w:val="00D65565"/>
    <w:rsid w:val="00D808D1"/>
    <w:rsid w:val="00D872A1"/>
    <w:rsid w:val="00D90BCD"/>
    <w:rsid w:val="00DB1630"/>
    <w:rsid w:val="00DD6467"/>
    <w:rsid w:val="00DF1D55"/>
    <w:rsid w:val="00E1031B"/>
    <w:rsid w:val="00E35333"/>
    <w:rsid w:val="00E82D4C"/>
    <w:rsid w:val="00EB1FF2"/>
    <w:rsid w:val="00F1499F"/>
    <w:rsid w:val="00F20811"/>
    <w:rsid w:val="00F2362C"/>
    <w:rsid w:val="00F24444"/>
    <w:rsid w:val="00F46B99"/>
    <w:rsid w:val="00F97911"/>
    <w:rsid w:val="00FD33B6"/>
    <w:rsid w:val="00FD7B34"/>
    <w:rsid w:val="00FE0EDE"/>
    <w:rsid w:val="00FF67C4"/>
    <w:rsid w:val="034707E0"/>
    <w:rsid w:val="039059C7"/>
    <w:rsid w:val="09886B94"/>
    <w:rsid w:val="11231CC8"/>
    <w:rsid w:val="153138B9"/>
    <w:rsid w:val="19FA7518"/>
    <w:rsid w:val="1BE75F2E"/>
    <w:rsid w:val="20822032"/>
    <w:rsid w:val="21F14E3F"/>
    <w:rsid w:val="262B2929"/>
    <w:rsid w:val="2A3F6ED6"/>
    <w:rsid w:val="45445A2B"/>
    <w:rsid w:val="54BE1794"/>
    <w:rsid w:val="556E7FB9"/>
    <w:rsid w:val="6131163C"/>
    <w:rsid w:val="69754024"/>
    <w:rsid w:val="707E068B"/>
    <w:rsid w:val="7CA86079"/>
    <w:rsid w:val="7E0B1F99"/>
    <w:rsid w:val="7EB35C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3"/>
    <w:qFormat/>
    <w:uiPriority w:val="99"/>
    <w:rPr>
      <w:sz w:val="18"/>
      <w:szCs w:val="18"/>
    </w:rPr>
  </w:style>
  <w:style w:type="character" w:customStyle="1" w:styleId="10">
    <w:name w:val="页脚 Char"/>
    <w:basedOn w:val="8"/>
    <w:link w:val="2"/>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c23d3749-6b04-4800-b697-d6e171349fef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5C23D80D</paraID>
      <start>0</start>
      <end>2</end>
      <status>unmodified</status>
      <modifiedWord/>
      <trackRevisions>false</trackRevisions>
    </reviewItem>
    <reviewItem>
      <errorID>f446e3d3-741f-4748-8781-e3a82074f2db</errorID>
      <errorWord>-</errorWord>
      <group>L1_Format</group>
      <groupName>格式问题</groupName>
      <ability>L2_HalfPunc</ability>
      <abilityName>全半角检查</abilityName>
      <candidateList>
        <item>－</item>
      </candidateList>
      <explain>文本全半角错误。</explain>
      <paraID>3CEF3C35</paraID>
      <start>78</start>
      <end>79</end>
      <status>modified</status>
      <modifiedWord>－</modifiedWord>
      <trackRevisions>false</trackRevisions>
    </reviewItem>
    <reviewItem>
      <errorID>28be7ac8-94e9-413b-a7c0-f07d09e93217</errorID>
      <errorWord>-</errorWord>
      <group>L1_Format</group>
      <groupName>格式问题</groupName>
      <ability>L2_HalfPunc</ability>
      <abilityName>全半角检查</abilityName>
      <candidateList>
        <item>－</item>
      </candidateList>
      <explain>文本全半角错误。</explain>
      <paraID>3CEF3C35</paraID>
      <start>83</start>
      <end>84</end>
      <status>modified</status>
      <modifiedWord>－</modifiedWord>
      <trackRevisions>false</trackRevisions>
    </reviewItem>
    <reviewItem>
      <errorID>cd7b864d-2de2-429f-8a55-8a62b9e43517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24B89C0B</paraID>
      <start>0</start>
      <end>2</end>
      <status>unmodified</status>
      <modifiedWord/>
      <trackRevisions>false</trackRevisions>
    </reviewItem>
    <reviewItem>
      <errorID>5e440ac7-9310-4cee-b355-9b6a9c2c780e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BC60632</paraID>
      <start>0</start>
      <end>2</end>
      <status>unmodified</status>
      <modifiedWord/>
      <trackRevisions>false</trackRevisions>
    </reviewItem>
    <reviewItem>
      <errorID>db1c53fe-9ebc-461c-be24-e31b0c3730f7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3BAE8E24</paraID>
      <start>0</start>
      <end>2</end>
      <status>unmodified</status>
      <modifiedWord/>
      <trackRevisions>false</trackRevisions>
    </reviewItem>
    <reviewItem>
      <errorID>4e321609-1786-4fdb-9ad3-4f0f7d563cf6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4972787C</paraID>
      <start>0</start>
      <end>2</end>
      <status>unmodified</status>
      <modifiedWord/>
      <trackRevisions>false</trackRevisions>
    </reviewItem>
    <reviewItem>
      <errorID>93ca88be-ffd6-49e0-bfdd-85ab6eaa66da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1663F081</paraID>
      <start>0</start>
      <end>2</end>
      <status>unmodified</status>
      <modifiedWord/>
      <trackRevisions>false</trackRevisions>
    </reviewItem>
    <reviewItem>
      <errorID>9dfa914a-a377-413b-9192-d72b85d28329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53AF318</paraID>
      <start>0</start>
      <end>2</end>
      <status>unmodified</status>
      <modifiedWord/>
      <trackRevisions>false</trackRevisions>
    </reviewItem>
    <reviewItem>
      <errorID>d7a709f9-b768-4a58-85d8-f6e8fad6c5b0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38828E8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28b47671-3b31-49c6-acb8-6736044bb48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4337</Words>
  <Characters>4525</Characters>
  <Lines>11</Lines>
  <Paragraphs>3</Paragraphs>
  <TotalTime>0</TotalTime>
  <ScaleCrop>false</ScaleCrop>
  <LinksUpToDate>false</LinksUpToDate>
  <CharactersWithSpaces>4603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2023-09-20T09:58:00Z</dcterms:created>
  <dc:creator>ZQB-ZL</dc:creator>
  <cp:lastModifiedBy>mz</cp:lastModifiedBy>
  <cp:lastPrinted>2022-02-11T05:22:00Z</cp:lastPrinted>
  <dcterms:modified xsi:type="dcterms:W3CDTF">2026-09-22T07:32:27Z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896C6C0CBB054D0CAC776389EC8DC2E2_13</vt:lpwstr>
  </property>
  <property fmtid="{D5CDD505-2E9C-101B-9397-08002B2CF9AE}" pid="4" name="KSOTemplateDocerSaveRecord">
    <vt:lpwstr>eyJoZGlkIjoiNWFkOWY1MDdjMGNiNmQzODY3M2Q4NDJjOGQwN2RhY2UiLCJ1c2VySWQiOiI0MTcwNzY1MTEifQ==</vt:lpwstr>
  </property>
</Properties>
</file>