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F943A9">
      <w:pPr>
        <w:snapToGrid w:val="0"/>
        <w:spacing w:line="360" w:lineRule="auto"/>
        <w:contextualSpacing/>
        <w:rPr>
          <w:rFonts w:ascii="Times New Roman" w:hAnsi="Times New Roman"/>
          <w:sz w:val="24"/>
          <w:szCs w:val="24"/>
        </w:rPr>
      </w:pPr>
      <w:r>
        <w:rPr>
          <w:rFonts w:ascii="Times New Roman" w:hAnsi="Times New Roman"/>
          <w:sz w:val="24"/>
          <w:szCs w:val="24"/>
        </w:rPr>
        <w:t>证券代码：603257                                  证券简称：中国瑞林</w:t>
      </w:r>
    </w:p>
    <w:p w14:paraId="4FCD7751">
      <w:pPr>
        <w:snapToGrid w:val="0"/>
        <w:spacing w:line="360" w:lineRule="auto"/>
        <w:contextualSpacing/>
        <w:rPr>
          <w:rFonts w:ascii="Times New Roman" w:hAnsi="Times New Roman" w:eastAsia="黑体"/>
          <w:color w:val="FF0000"/>
          <w:sz w:val="24"/>
          <w:szCs w:val="24"/>
        </w:rPr>
      </w:pPr>
    </w:p>
    <w:p w14:paraId="0FB095E9">
      <w:pPr>
        <w:spacing w:line="360" w:lineRule="auto"/>
        <w:jc w:val="center"/>
        <w:rPr>
          <w:rFonts w:ascii="Times New Roman" w:hAnsi="Times New Roman"/>
          <w:b/>
          <w:iCs/>
          <w:color w:val="FF0000"/>
          <w:sz w:val="36"/>
          <w:szCs w:val="36"/>
        </w:rPr>
      </w:pPr>
      <w:r>
        <w:rPr>
          <w:rFonts w:ascii="Times New Roman" w:hAnsi="Times New Roman"/>
          <w:b/>
          <w:iCs/>
          <w:color w:val="FF0000"/>
          <w:sz w:val="36"/>
          <w:szCs w:val="36"/>
        </w:rPr>
        <w:t>中国瑞林工程技术股份有限公司</w:t>
      </w:r>
    </w:p>
    <w:p w14:paraId="4D14A2E4">
      <w:pPr>
        <w:spacing w:line="360" w:lineRule="auto"/>
        <w:jc w:val="center"/>
        <w:rPr>
          <w:rFonts w:ascii="Times New Roman" w:hAnsi="Times New Roman"/>
          <w:b/>
          <w:iCs/>
          <w:color w:val="FF0000"/>
          <w:sz w:val="36"/>
          <w:szCs w:val="36"/>
        </w:rPr>
      </w:pPr>
      <w:r>
        <w:rPr>
          <w:rFonts w:ascii="Times New Roman" w:hAnsi="Times New Roman"/>
          <w:b/>
          <w:iCs/>
          <w:color w:val="FF0000"/>
          <w:sz w:val="36"/>
          <w:szCs w:val="36"/>
        </w:rPr>
        <w:t>2026年半年度业绩说明会投资者关系活动记录表</w:t>
      </w:r>
    </w:p>
    <w:p w14:paraId="57C939F6">
      <w:pPr>
        <w:spacing w:line="360" w:lineRule="auto"/>
        <w:jc w:val="right"/>
        <w:rPr>
          <w:rFonts w:ascii="Times New Roman" w:hAnsi="Times New Roman"/>
          <w:bCs/>
          <w:iCs/>
          <w:color w:val="000000"/>
          <w:sz w:val="24"/>
          <w:szCs w:val="24"/>
        </w:rPr>
      </w:pPr>
    </w:p>
    <w:p w14:paraId="5CF27303">
      <w:pPr>
        <w:spacing w:line="360" w:lineRule="auto"/>
        <w:jc w:val="right"/>
        <w:rPr>
          <w:rFonts w:ascii="Times New Roman" w:hAnsi="Times New Roman"/>
          <w:bCs/>
          <w:iCs/>
          <w:color w:val="000000"/>
          <w:sz w:val="24"/>
          <w:szCs w:val="24"/>
        </w:rPr>
      </w:pPr>
      <w:r>
        <w:rPr>
          <w:rFonts w:ascii="Times New Roman" w:hAnsi="Times New Roman"/>
          <w:bCs/>
          <w:iCs/>
          <w:color w:val="000000"/>
          <w:sz w:val="24"/>
          <w:szCs w:val="24"/>
        </w:rPr>
        <w:t>编号：2026-004</w:t>
      </w:r>
    </w:p>
    <w:tbl>
      <w:tblPr>
        <w:tblStyle w:val="7"/>
        <w:tblW w:w="0" w:type="auto"/>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1830"/>
        <w:gridCol w:w="6446"/>
      </w:tblGrid>
      <w:tr w14:paraId="3291800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1908" w:type="dxa"/>
            <w:tcBorders>
              <w:tl2br w:val="nil"/>
              <w:tr2bl w:val="nil"/>
            </w:tcBorders>
            <w:vAlign w:val="center"/>
          </w:tcPr>
          <w:p w14:paraId="52773174">
            <w:pPr>
              <w:spacing w:line="360" w:lineRule="auto"/>
              <w:jc w:val="center"/>
              <w:rPr>
                <w:rFonts w:ascii="Times New Roman" w:hAnsi="Times New Roman"/>
                <w:bCs/>
                <w:iCs/>
                <w:color w:val="000000"/>
                <w:sz w:val="24"/>
                <w:szCs w:val="24"/>
              </w:rPr>
            </w:pPr>
            <w:r>
              <w:rPr>
                <w:rFonts w:ascii="Times New Roman" w:hAnsi="Times New Roman"/>
                <w:bCs/>
                <w:iCs/>
                <w:color w:val="000000"/>
                <w:sz w:val="24"/>
                <w:szCs w:val="24"/>
              </w:rPr>
              <w:t>投资者关系</w:t>
            </w:r>
          </w:p>
          <w:p w14:paraId="232F5198">
            <w:pPr>
              <w:spacing w:line="360" w:lineRule="auto"/>
              <w:jc w:val="center"/>
              <w:rPr>
                <w:rFonts w:ascii="Times New Roman" w:hAnsi="Times New Roman"/>
                <w:bCs/>
                <w:iCs/>
                <w:color w:val="000000"/>
                <w:sz w:val="24"/>
                <w:szCs w:val="24"/>
              </w:rPr>
            </w:pPr>
            <w:r>
              <w:rPr>
                <w:rFonts w:ascii="Times New Roman" w:hAnsi="Times New Roman"/>
                <w:bCs/>
                <w:iCs/>
                <w:color w:val="000000"/>
                <w:sz w:val="24"/>
                <w:szCs w:val="24"/>
              </w:rPr>
              <w:t>活动类别</w:t>
            </w:r>
          </w:p>
          <w:p w14:paraId="660ADAE0">
            <w:pPr>
              <w:spacing w:line="360" w:lineRule="auto"/>
              <w:jc w:val="center"/>
              <w:rPr>
                <w:rFonts w:ascii="Times New Roman" w:hAnsi="Times New Roman"/>
                <w:bCs/>
                <w:iCs/>
                <w:color w:val="000000"/>
                <w:sz w:val="24"/>
                <w:szCs w:val="24"/>
              </w:rPr>
            </w:pPr>
          </w:p>
        </w:tc>
        <w:tc>
          <w:tcPr>
            <w:tcW w:w="6614" w:type="dxa"/>
            <w:tcBorders>
              <w:tl2br w:val="nil"/>
              <w:tr2bl w:val="nil"/>
            </w:tcBorders>
            <w:vAlign w:val="center"/>
          </w:tcPr>
          <w:p w14:paraId="67E0204F">
            <w:pPr>
              <w:spacing w:line="360" w:lineRule="auto"/>
              <w:rPr>
                <w:rFonts w:ascii="Times New Roman" w:hAnsi="Times New Roman"/>
                <w:bCs/>
                <w:iCs/>
                <w:color w:val="000000"/>
                <w:sz w:val="24"/>
                <w:szCs w:val="24"/>
              </w:rPr>
            </w:pPr>
            <w:r>
              <w:rPr>
                <w:rFonts w:ascii="Times New Roman" w:hAnsi="Times New Roman"/>
                <w:bCs/>
                <w:iCs/>
                <w:color w:val="000000"/>
                <w:sz w:val="24"/>
                <w:szCs w:val="24"/>
              </w:rPr>
              <w:t>□</w:t>
            </w:r>
            <w:r>
              <w:rPr>
                <w:rFonts w:ascii="Times New Roman" w:hAnsi="Times New Roman"/>
                <w:color w:val="000000"/>
                <w:sz w:val="24"/>
                <w:szCs w:val="24"/>
              </w:rPr>
              <w:t xml:space="preserve">特定对象调研        </w:t>
            </w:r>
            <w:r>
              <w:rPr>
                <w:rFonts w:ascii="Times New Roman" w:hAnsi="Times New Roman"/>
                <w:bCs/>
                <w:iCs/>
                <w:color w:val="000000"/>
                <w:sz w:val="24"/>
                <w:szCs w:val="24"/>
              </w:rPr>
              <w:t>□</w:t>
            </w:r>
            <w:r>
              <w:rPr>
                <w:rFonts w:ascii="Times New Roman" w:hAnsi="Times New Roman"/>
                <w:color w:val="000000"/>
                <w:sz w:val="24"/>
                <w:szCs w:val="24"/>
              </w:rPr>
              <w:t>分析师会议</w:t>
            </w:r>
          </w:p>
          <w:p w14:paraId="61228F2D">
            <w:pPr>
              <w:spacing w:line="360" w:lineRule="auto"/>
              <w:rPr>
                <w:rFonts w:ascii="Times New Roman" w:hAnsi="Times New Roman"/>
                <w:bCs/>
                <w:iCs/>
                <w:color w:val="000000"/>
                <w:sz w:val="24"/>
                <w:szCs w:val="24"/>
              </w:rPr>
            </w:pPr>
            <w:r>
              <w:rPr>
                <w:rFonts w:ascii="Times New Roman" w:hAnsi="Times New Roman"/>
                <w:bCs/>
                <w:iCs/>
                <w:color w:val="000000"/>
                <w:sz w:val="24"/>
                <w:szCs w:val="24"/>
              </w:rPr>
              <w:t>□</w:t>
            </w:r>
            <w:r>
              <w:rPr>
                <w:rFonts w:ascii="Times New Roman" w:hAnsi="Times New Roman"/>
                <w:color w:val="000000"/>
                <w:sz w:val="24"/>
                <w:szCs w:val="24"/>
              </w:rPr>
              <w:t xml:space="preserve">媒体采访            </w:t>
            </w:r>
            <w:r>
              <w:rPr>
                <w:rFonts w:ascii="Times New Roman" w:hAnsi="Times New Roman"/>
                <w:bCs/>
                <w:iCs/>
                <w:color w:val="000000"/>
                <w:sz w:val="24"/>
                <w:szCs w:val="24"/>
              </w:rPr>
              <w:sym w:font="Wingdings 2" w:char="0052"/>
            </w:r>
            <w:r>
              <w:rPr>
                <w:rFonts w:ascii="Times New Roman" w:hAnsi="Times New Roman"/>
                <w:color w:val="000000"/>
                <w:sz w:val="24"/>
                <w:szCs w:val="24"/>
              </w:rPr>
              <w:t>业绩说明会</w:t>
            </w:r>
          </w:p>
          <w:p w14:paraId="4BCB17DC">
            <w:pPr>
              <w:spacing w:line="360" w:lineRule="auto"/>
              <w:rPr>
                <w:rFonts w:ascii="Times New Roman" w:hAnsi="Times New Roman"/>
                <w:bCs/>
                <w:iCs/>
                <w:color w:val="000000"/>
                <w:sz w:val="24"/>
                <w:szCs w:val="24"/>
              </w:rPr>
            </w:pPr>
            <w:r>
              <w:rPr>
                <w:rFonts w:ascii="Times New Roman" w:hAnsi="Times New Roman"/>
                <w:bCs/>
                <w:iCs/>
                <w:color w:val="000000"/>
                <w:sz w:val="24"/>
                <w:szCs w:val="24"/>
              </w:rPr>
              <w:t>□</w:t>
            </w:r>
            <w:r>
              <w:rPr>
                <w:rFonts w:ascii="Times New Roman" w:hAnsi="Times New Roman"/>
                <w:color w:val="000000"/>
                <w:sz w:val="24"/>
                <w:szCs w:val="24"/>
              </w:rPr>
              <w:t xml:space="preserve">新闻发布会          </w:t>
            </w:r>
            <w:r>
              <w:rPr>
                <w:rFonts w:ascii="Times New Roman" w:hAnsi="Times New Roman"/>
                <w:bCs/>
                <w:iCs/>
                <w:color w:val="000000"/>
                <w:sz w:val="24"/>
                <w:szCs w:val="24"/>
              </w:rPr>
              <w:t>□</w:t>
            </w:r>
            <w:r>
              <w:rPr>
                <w:rFonts w:ascii="Times New Roman" w:hAnsi="Times New Roman"/>
                <w:color w:val="000000"/>
                <w:sz w:val="24"/>
                <w:szCs w:val="24"/>
              </w:rPr>
              <w:t>路演活动</w:t>
            </w:r>
          </w:p>
          <w:p w14:paraId="605AA9E4">
            <w:pPr>
              <w:tabs>
                <w:tab w:val="left" w:pos="3045"/>
                <w:tab w:val="center" w:pos="3199"/>
              </w:tabs>
              <w:spacing w:line="360" w:lineRule="auto"/>
              <w:rPr>
                <w:rFonts w:ascii="Times New Roman" w:hAnsi="Times New Roman"/>
                <w:bCs/>
                <w:iCs/>
                <w:color w:val="000000"/>
                <w:sz w:val="24"/>
                <w:szCs w:val="24"/>
              </w:rPr>
            </w:pPr>
            <w:r>
              <w:rPr>
                <w:rFonts w:ascii="Times New Roman" w:hAnsi="Times New Roman"/>
                <w:bCs/>
                <w:iCs/>
                <w:color w:val="000000"/>
                <w:sz w:val="24"/>
                <w:szCs w:val="24"/>
              </w:rPr>
              <w:t>□</w:t>
            </w:r>
            <w:r>
              <w:rPr>
                <w:rFonts w:ascii="Times New Roman" w:hAnsi="Times New Roman"/>
                <w:color w:val="000000"/>
                <w:sz w:val="24"/>
                <w:szCs w:val="24"/>
              </w:rPr>
              <w:t xml:space="preserve">现场参观            </w:t>
            </w:r>
            <w:r>
              <w:rPr>
                <w:rFonts w:ascii="Times New Roman" w:hAnsi="Times New Roman"/>
                <w:bCs/>
                <w:iCs/>
                <w:color w:val="000000"/>
                <w:sz w:val="24"/>
                <w:szCs w:val="24"/>
              </w:rPr>
              <w:t>□</w:t>
            </w:r>
            <w:r>
              <w:rPr>
                <w:rFonts w:ascii="Times New Roman" w:hAnsi="Times New Roman"/>
                <w:color w:val="000000"/>
                <w:sz w:val="24"/>
                <w:szCs w:val="24"/>
              </w:rPr>
              <w:t>其他</w:t>
            </w:r>
          </w:p>
        </w:tc>
      </w:tr>
      <w:tr w14:paraId="2D9D2E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495" w:hRule="atLeast"/>
        </w:trPr>
        <w:tc>
          <w:tcPr>
            <w:tcW w:w="1908" w:type="dxa"/>
            <w:tcBorders>
              <w:tl2br w:val="nil"/>
              <w:tr2bl w:val="nil"/>
            </w:tcBorders>
            <w:vAlign w:val="center"/>
          </w:tcPr>
          <w:p w14:paraId="0F296449">
            <w:pPr>
              <w:spacing w:line="360" w:lineRule="auto"/>
              <w:jc w:val="center"/>
              <w:rPr>
                <w:rFonts w:ascii="Times New Roman" w:hAnsi="Times New Roman"/>
                <w:bCs/>
                <w:iCs/>
                <w:color w:val="000000"/>
                <w:sz w:val="24"/>
                <w:szCs w:val="24"/>
              </w:rPr>
            </w:pPr>
            <w:r>
              <w:rPr>
                <w:rFonts w:ascii="Times New Roman" w:hAnsi="Times New Roman"/>
                <w:bCs/>
                <w:iCs/>
                <w:color w:val="000000"/>
                <w:sz w:val="24"/>
                <w:szCs w:val="24"/>
              </w:rPr>
              <w:t>参与单位名称</w:t>
            </w:r>
          </w:p>
          <w:p w14:paraId="1138309C">
            <w:pPr>
              <w:spacing w:line="360" w:lineRule="auto"/>
              <w:jc w:val="center"/>
              <w:rPr>
                <w:rFonts w:ascii="Times New Roman" w:hAnsi="Times New Roman"/>
                <w:bCs/>
                <w:iCs/>
                <w:color w:val="000000"/>
                <w:sz w:val="24"/>
                <w:szCs w:val="24"/>
              </w:rPr>
            </w:pPr>
            <w:r>
              <w:rPr>
                <w:rFonts w:ascii="Times New Roman" w:hAnsi="Times New Roman"/>
                <w:bCs/>
                <w:iCs/>
                <w:color w:val="000000"/>
                <w:sz w:val="24"/>
                <w:szCs w:val="24"/>
              </w:rPr>
              <w:t>及人员姓名</w:t>
            </w:r>
          </w:p>
        </w:tc>
        <w:tc>
          <w:tcPr>
            <w:tcW w:w="6614" w:type="dxa"/>
            <w:tcBorders>
              <w:tl2br w:val="nil"/>
              <w:tr2bl w:val="nil"/>
            </w:tcBorders>
            <w:vAlign w:val="center"/>
          </w:tcPr>
          <w:p w14:paraId="38DFB501">
            <w:pPr>
              <w:spacing w:line="360" w:lineRule="auto"/>
              <w:rPr>
                <w:rFonts w:ascii="Times New Roman" w:hAnsi="Times New Roman"/>
                <w:bCs/>
                <w:iCs/>
                <w:color w:val="000000"/>
                <w:sz w:val="24"/>
                <w:szCs w:val="24"/>
              </w:rPr>
            </w:pPr>
          </w:p>
          <w:p w14:paraId="17942AAB">
            <w:pPr>
              <w:spacing w:line="360" w:lineRule="auto"/>
              <w:rPr>
                <w:rFonts w:ascii="Times New Roman" w:hAnsi="Times New Roman"/>
                <w:bCs/>
                <w:iCs/>
                <w:color w:val="000000"/>
                <w:sz w:val="24"/>
                <w:szCs w:val="24"/>
              </w:rPr>
            </w:pPr>
            <w:r>
              <w:rPr>
                <w:rFonts w:ascii="Times New Roman" w:hAnsi="Times New Roman"/>
                <w:bCs/>
                <w:iCs/>
                <w:color w:val="000000"/>
                <w:sz w:val="24"/>
                <w:szCs w:val="24"/>
              </w:rPr>
              <w:t>线上参加公司2026年半年度业绩说明会的投资者</w:t>
            </w:r>
          </w:p>
          <w:p w14:paraId="01EEA703">
            <w:pPr>
              <w:spacing w:line="360" w:lineRule="auto"/>
              <w:rPr>
                <w:rFonts w:ascii="Times New Roman" w:hAnsi="Times New Roman"/>
                <w:bCs/>
                <w:iCs/>
                <w:color w:val="000000"/>
                <w:sz w:val="24"/>
                <w:szCs w:val="24"/>
              </w:rPr>
            </w:pPr>
          </w:p>
        </w:tc>
      </w:tr>
      <w:tr w14:paraId="505839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1908" w:type="dxa"/>
            <w:tcBorders>
              <w:tl2br w:val="nil"/>
              <w:tr2bl w:val="nil"/>
            </w:tcBorders>
            <w:vAlign w:val="center"/>
          </w:tcPr>
          <w:p w14:paraId="42940B0A">
            <w:pPr>
              <w:spacing w:line="360" w:lineRule="auto"/>
              <w:jc w:val="center"/>
              <w:rPr>
                <w:rFonts w:ascii="Times New Roman" w:hAnsi="Times New Roman"/>
                <w:bCs/>
                <w:iCs/>
                <w:color w:val="000000"/>
                <w:sz w:val="24"/>
                <w:szCs w:val="24"/>
              </w:rPr>
            </w:pPr>
            <w:r>
              <w:rPr>
                <w:rFonts w:ascii="Times New Roman" w:hAnsi="Times New Roman"/>
                <w:bCs/>
                <w:iCs/>
                <w:color w:val="000000"/>
                <w:sz w:val="24"/>
                <w:szCs w:val="24"/>
              </w:rPr>
              <w:t>时间</w:t>
            </w:r>
          </w:p>
        </w:tc>
        <w:tc>
          <w:tcPr>
            <w:tcW w:w="6614" w:type="dxa"/>
            <w:tcBorders>
              <w:tl2br w:val="nil"/>
              <w:tr2bl w:val="nil"/>
            </w:tcBorders>
            <w:vAlign w:val="center"/>
          </w:tcPr>
          <w:p w14:paraId="0354AA2A">
            <w:pPr>
              <w:spacing w:line="360" w:lineRule="auto"/>
              <w:rPr>
                <w:rFonts w:ascii="Times New Roman" w:hAnsi="Times New Roman"/>
                <w:bCs/>
                <w:iCs/>
                <w:color w:val="000000"/>
                <w:sz w:val="24"/>
                <w:szCs w:val="24"/>
              </w:rPr>
            </w:pPr>
            <w:r>
              <w:rPr>
                <w:rFonts w:ascii="Times New Roman" w:hAnsi="Times New Roman"/>
                <w:bCs/>
                <w:iCs/>
                <w:color w:val="000000"/>
                <w:sz w:val="24"/>
                <w:szCs w:val="24"/>
              </w:rPr>
              <w:t>2026年9月24日上午11:00至12:00</w:t>
            </w:r>
          </w:p>
        </w:tc>
      </w:tr>
      <w:tr w14:paraId="1E5A1F6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1908" w:type="dxa"/>
            <w:tcBorders>
              <w:tl2br w:val="nil"/>
              <w:tr2bl w:val="nil"/>
            </w:tcBorders>
            <w:vAlign w:val="center"/>
          </w:tcPr>
          <w:p w14:paraId="42CE6298">
            <w:pPr>
              <w:spacing w:line="360" w:lineRule="auto"/>
              <w:jc w:val="center"/>
              <w:rPr>
                <w:rFonts w:ascii="Times New Roman" w:hAnsi="Times New Roman"/>
                <w:bCs/>
                <w:iCs/>
                <w:color w:val="000000"/>
                <w:sz w:val="24"/>
                <w:szCs w:val="24"/>
              </w:rPr>
            </w:pPr>
            <w:r>
              <w:rPr>
                <w:rFonts w:ascii="Times New Roman" w:hAnsi="Times New Roman"/>
                <w:bCs/>
                <w:iCs/>
                <w:color w:val="000000"/>
                <w:sz w:val="24"/>
                <w:szCs w:val="24"/>
              </w:rPr>
              <w:t>地点</w:t>
            </w:r>
          </w:p>
        </w:tc>
        <w:tc>
          <w:tcPr>
            <w:tcW w:w="6614" w:type="dxa"/>
            <w:tcBorders>
              <w:tl2br w:val="nil"/>
              <w:tr2bl w:val="nil"/>
            </w:tcBorders>
            <w:vAlign w:val="center"/>
          </w:tcPr>
          <w:p w14:paraId="78E65519">
            <w:pPr>
              <w:spacing w:line="360" w:lineRule="auto"/>
              <w:jc w:val="left"/>
              <w:rPr>
                <w:rFonts w:ascii="Times New Roman" w:hAnsi="Times New Roman"/>
                <w:sz w:val="24"/>
                <w:szCs w:val="24"/>
              </w:rPr>
            </w:pPr>
            <w:r>
              <w:rPr>
                <w:rFonts w:ascii="Times New Roman" w:hAnsi="Times New Roman"/>
                <w:sz w:val="24"/>
                <w:szCs w:val="24"/>
              </w:rPr>
              <w:t>上证路演中心 https://roadshow.sseinfo.com</w:t>
            </w:r>
          </w:p>
          <w:p w14:paraId="133C57FB">
            <w:pPr>
              <w:spacing w:line="360" w:lineRule="auto"/>
              <w:jc w:val="left"/>
              <w:rPr>
                <w:rFonts w:ascii="Times New Roman" w:hAnsi="Times New Roman"/>
                <w:bCs/>
                <w:iCs/>
                <w:color w:val="000000"/>
                <w:sz w:val="24"/>
                <w:szCs w:val="24"/>
              </w:rPr>
            </w:pPr>
            <w:r>
              <w:rPr>
                <w:rFonts w:ascii="Times New Roman" w:hAnsi="Times New Roman"/>
                <w:sz w:val="24"/>
                <w:szCs w:val="24"/>
              </w:rPr>
              <w:t>网络文字互动</w:t>
            </w:r>
          </w:p>
        </w:tc>
      </w:tr>
      <w:tr w14:paraId="2E0A008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1908" w:type="dxa"/>
            <w:tcBorders>
              <w:tl2br w:val="nil"/>
              <w:tr2bl w:val="nil"/>
            </w:tcBorders>
            <w:vAlign w:val="center"/>
          </w:tcPr>
          <w:p w14:paraId="0A936C4C">
            <w:pPr>
              <w:spacing w:line="360" w:lineRule="auto"/>
              <w:jc w:val="center"/>
              <w:rPr>
                <w:rFonts w:ascii="Times New Roman" w:hAnsi="Times New Roman"/>
                <w:bCs/>
                <w:iCs/>
                <w:color w:val="000000"/>
                <w:sz w:val="24"/>
                <w:szCs w:val="24"/>
              </w:rPr>
            </w:pPr>
            <w:r>
              <w:rPr>
                <w:rFonts w:ascii="Times New Roman" w:hAnsi="Times New Roman"/>
                <w:bCs/>
                <w:iCs/>
                <w:color w:val="000000"/>
                <w:sz w:val="24"/>
                <w:szCs w:val="24"/>
              </w:rPr>
              <w:t>上市公司接待</w:t>
            </w:r>
          </w:p>
          <w:p w14:paraId="3A2DE527">
            <w:pPr>
              <w:spacing w:line="360" w:lineRule="auto"/>
              <w:jc w:val="center"/>
              <w:rPr>
                <w:rFonts w:ascii="Times New Roman" w:hAnsi="Times New Roman"/>
                <w:bCs/>
                <w:iCs/>
                <w:color w:val="000000"/>
                <w:sz w:val="24"/>
                <w:szCs w:val="24"/>
              </w:rPr>
            </w:pPr>
            <w:r>
              <w:rPr>
                <w:rFonts w:ascii="Times New Roman" w:hAnsi="Times New Roman"/>
                <w:bCs/>
                <w:iCs/>
                <w:color w:val="000000"/>
                <w:sz w:val="24"/>
                <w:szCs w:val="24"/>
              </w:rPr>
              <w:t>人员姓名</w:t>
            </w:r>
          </w:p>
        </w:tc>
        <w:tc>
          <w:tcPr>
            <w:tcW w:w="6614" w:type="dxa"/>
            <w:tcBorders>
              <w:tl2br w:val="nil"/>
              <w:tr2bl w:val="nil"/>
            </w:tcBorders>
            <w:vAlign w:val="center"/>
          </w:tcPr>
          <w:p w14:paraId="4B288927">
            <w:pPr>
              <w:spacing w:line="360" w:lineRule="auto"/>
              <w:rPr>
                <w:rFonts w:ascii="Times New Roman" w:hAnsi="Times New Roman"/>
                <w:bCs/>
                <w:iCs/>
                <w:color w:val="000000"/>
                <w:sz w:val="24"/>
                <w:szCs w:val="24"/>
              </w:rPr>
            </w:pPr>
            <w:r>
              <w:rPr>
                <w:rFonts w:ascii="Times New Roman" w:hAnsi="Times New Roman"/>
                <w:bCs/>
                <w:iCs/>
                <w:color w:val="000000"/>
                <w:sz w:val="24"/>
                <w:szCs w:val="24"/>
              </w:rPr>
              <w:t>党委书记、董事长、总经理：吴润华先生</w:t>
            </w:r>
          </w:p>
          <w:p w14:paraId="3198413C">
            <w:pPr>
              <w:spacing w:line="360" w:lineRule="auto"/>
              <w:rPr>
                <w:rFonts w:ascii="Times New Roman" w:hAnsi="Times New Roman"/>
                <w:bCs/>
                <w:iCs/>
                <w:color w:val="000000"/>
                <w:sz w:val="24"/>
                <w:szCs w:val="24"/>
              </w:rPr>
            </w:pPr>
            <w:r>
              <w:rPr>
                <w:rFonts w:ascii="Times New Roman" w:hAnsi="Times New Roman"/>
                <w:bCs/>
                <w:iCs/>
                <w:color w:val="000000"/>
                <w:sz w:val="24"/>
                <w:szCs w:val="24"/>
              </w:rPr>
              <w:t>董事、副总经理、董事会秘书：方填三先生</w:t>
            </w:r>
          </w:p>
          <w:p w14:paraId="39C3BF96">
            <w:pPr>
              <w:spacing w:line="360" w:lineRule="auto"/>
              <w:rPr>
                <w:rFonts w:ascii="Times New Roman" w:hAnsi="Times New Roman"/>
                <w:bCs/>
                <w:iCs/>
                <w:color w:val="000000"/>
                <w:sz w:val="24"/>
                <w:szCs w:val="24"/>
              </w:rPr>
            </w:pPr>
            <w:r>
              <w:rPr>
                <w:rFonts w:ascii="Times New Roman" w:hAnsi="Times New Roman"/>
                <w:bCs/>
                <w:iCs/>
                <w:color w:val="000000"/>
                <w:sz w:val="24"/>
                <w:szCs w:val="24"/>
              </w:rPr>
              <w:t>财务总监：王君女士</w:t>
            </w:r>
          </w:p>
          <w:p w14:paraId="721295EC">
            <w:pPr>
              <w:spacing w:line="360" w:lineRule="auto"/>
              <w:rPr>
                <w:rFonts w:ascii="Times New Roman" w:hAnsi="Times New Roman"/>
                <w:bCs/>
                <w:iCs/>
                <w:color w:val="000000"/>
                <w:sz w:val="24"/>
                <w:szCs w:val="24"/>
              </w:rPr>
            </w:pPr>
            <w:r>
              <w:rPr>
                <w:rFonts w:ascii="Times New Roman" w:hAnsi="Times New Roman"/>
                <w:bCs/>
                <w:iCs/>
                <w:color w:val="000000"/>
                <w:sz w:val="24"/>
                <w:szCs w:val="24"/>
              </w:rPr>
              <w:t>独立董事：郭刚先生</w:t>
            </w:r>
          </w:p>
          <w:p w14:paraId="36631467">
            <w:pPr>
              <w:spacing w:line="360" w:lineRule="auto"/>
              <w:rPr>
                <w:rFonts w:ascii="Times New Roman" w:hAnsi="Times New Roman"/>
                <w:bCs/>
                <w:iCs/>
                <w:color w:val="000000"/>
                <w:sz w:val="24"/>
                <w:szCs w:val="24"/>
              </w:rPr>
            </w:pPr>
            <w:r>
              <w:rPr>
                <w:rFonts w:ascii="Times New Roman" w:hAnsi="Times New Roman"/>
                <w:bCs/>
                <w:iCs/>
                <w:color w:val="000000"/>
                <w:sz w:val="24"/>
                <w:szCs w:val="24"/>
              </w:rPr>
              <w:t>保荐代表人：苗健先生</w:t>
            </w:r>
          </w:p>
        </w:tc>
      </w:tr>
      <w:tr w14:paraId="5EDEBA7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1908" w:type="dxa"/>
            <w:tcBorders>
              <w:tl2br w:val="nil"/>
              <w:tr2bl w:val="nil"/>
            </w:tcBorders>
            <w:vAlign w:val="center"/>
          </w:tcPr>
          <w:p w14:paraId="22DCC55D">
            <w:pPr>
              <w:spacing w:line="360" w:lineRule="auto"/>
              <w:jc w:val="center"/>
              <w:rPr>
                <w:rFonts w:ascii="Times New Roman" w:hAnsi="Times New Roman"/>
                <w:bCs/>
                <w:iCs/>
                <w:color w:val="000000"/>
                <w:sz w:val="24"/>
                <w:szCs w:val="24"/>
              </w:rPr>
            </w:pPr>
            <w:r>
              <w:rPr>
                <w:rFonts w:ascii="Times New Roman" w:hAnsi="Times New Roman"/>
                <w:bCs/>
                <w:iCs/>
                <w:color w:val="000000"/>
                <w:sz w:val="24"/>
                <w:szCs w:val="24"/>
              </w:rPr>
              <w:t>投资者关系活动主要内容介绍</w:t>
            </w:r>
          </w:p>
          <w:p w14:paraId="22D3E716">
            <w:pPr>
              <w:spacing w:line="360" w:lineRule="auto"/>
              <w:jc w:val="center"/>
              <w:rPr>
                <w:rFonts w:ascii="Times New Roman" w:hAnsi="Times New Roman"/>
                <w:bCs/>
                <w:iCs/>
                <w:color w:val="000000"/>
                <w:sz w:val="24"/>
                <w:szCs w:val="24"/>
              </w:rPr>
            </w:pPr>
          </w:p>
        </w:tc>
        <w:tc>
          <w:tcPr>
            <w:tcW w:w="6614" w:type="dxa"/>
            <w:tcBorders>
              <w:tl2br w:val="nil"/>
              <w:tr2bl w:val="nil"/>
            </w:tcBorders>
            <w:vAlign w:val="center"/>
          </w:tcPr>
          <w:p w14:paraId="47016E95">
            <w:pPr>
              <w:spacing w:line="360" w:lineRule="auto"/>
              <w:ind w:firstLine="720" w:firstLineChars="300"/>
              <w:rPr>
                <w:rFonts w:ascii="Times New Roman" w:hAnsi="Times New Roman"/>
                <w:bCs/>
                <w:iCs/>
                <w:color w:val="000000"/>
                <w:sz w:val="24"/>
                <w:szCs w:val="24"/>
              </w:rPr>
            </w:pPr>
            <w:r>
              <w:rPr>
                <w:rFonts w:ascii="Times New Roman" w:hAnsi="Times New Roman"/>
                <w:bCs/>
                <w:iCs/>
                <w:color w:val="000000"/>
                <w:sz w:val="24"/>
                <w:szCs w:val="24"/>
              </w:rPr>
              <w:t>中国瑞林工程技术股份有限公司于2026年9月24日（星期四）上午11:00-12:00在</w:t>
            </w:r>
            <w:r>
              <w:rPr>
                <w:rFonts w:ascii="Times New Roman" w:hAnsi="Times New Roman"/>
                <w:sz w:val="24"/>
                <w:szCs w:val="24"/>
              </w:rPr>
              <w:t>上证路演中心（https://roadshow.sseinfo.com）</w:t>
            </w:r>
            <w:r>
              <w:rPr>
                <w:rFonts w:ascii="Times New Roman" w:hAnsi="Times New Roman"/>
                <w:bCs/>
                <w:iCs/>
                <w:color w:val="000000"/>
                <w:sz w:val="24"/>
                <w:szCs w:val="24"/>
              </w:rPr>
              <w:t>召开公司2026年半年度业绩说明会。本次业绩说明会的主要问答情况如下：</w:t>
            </w:r>
          </w:p>
          <w:p w14:paraId="08A46FC6">
            <w:pPr>
              <w:spacing w:line="360" w:lineRule="auto"/>
              <w:rPr>
                <w:rFonts w:ascii="Times New Roman" w:hAnsi="Times New Roman"/>
                <w:b/>
                <w:iCs/>
                <w:color w:val="000000"/>
                <w:sz w:val="24"/>
                <w:szCs w:val="24"/>
              </w:rPr>
            </w:pPr>
            <w:r>
              <w:rPr>
                <w:rFonts w:ascii="Times New Roman" w:hAnsi="Times New Roman"/>
                <w:b/>
                <w:iCs/>
                <w:color w:val="000000"/>
                <w:sz w:val="24"/>
                <w:szCs w:val="24"/>
              </w:rPr>
              <w:t>问题1、请介绍一下公司2026年上半年的整体经营业绩情况。公司上半年营业收入同比下降，但归母净利润实现增长，主要原因是什么？</w:t>
            </w:r>
          </w:p>
          <w:p w14:paraId="764D066D">
            <w:pPr>
              <w:spacing w:line="360" w:lineRule="auto"/>
              <w:rPr>
                <w:rFonts w:ascii="Times New Roman" w:hAnsi="Times New Roman"/>
                <w:bCs/>
                <w:iCs/>
                <w:color w:val="000000"/>
                <w:sz w:val="24"/>
                <w:szCs w:val="24"/>
              </w:rPr>
            </w:pPr>
            <w:r>
              <w:rPr>
                <w:rFonts w:ascii="Times New Roman" w:hAnsi="Times New Roman"/>
                <w:bCs/>
                <w:iCs/>
                <w:color w:val="000000"/>
                <w:sz w:val="24"/>
                <w:szCs w:val="24"/>
              </w:rPr>
              <w:t>答：尊敬的投资者，您好，感谢您对中国瑞林的关注与支持。2026年上半年，公司实现营业收入6.88亿元，同比下降25.28%；归母净利润9482万元，同比增长26.86%；扣非净利润9131.04万元，同比增长32.63%。营收下降但利润增长，主要系公司三大业务板块收入变化、高毛利业务占比提升所致。分业务板块来看，工程设计及咨询业务实现营业收入4.60亿元，同比增长38.46%；装备集成业务实现营业收入2.19亿元，同比下降56.96%，主要系多个重大装备集成项目尚在执行当中、收入阶段性下降；工程总承包业务实现营业收入650.77万元，同比下降91.34%。从盈利能力看，工程设计及咨询业务毛利率较高，其收入占比不断提升，同时低毛利的总承包业务占比下降，总体体现为营收下降，但净利润上升，财务指标更加良好。此外，公司国际化战略成效显著，境外收入5.03亿元，占营业收入的比重为73.06%，较上年同期增长3.60%，境外业务毛利率为54.36%，较上年同期增长16.96</w:t>
            </w:r>
            <w:r>
              <w:rPr>
                <w:rFonts w:hint="default" w:ascii="Times New Roman" w:hAnsi="Times New Roman"/>
                <w:bCs/>
                <w:iCs/>
                <w:color w:val="000000"/>
                <w:sz w:val="24"/>
                <w:szCs w:val="24"/>
              </w:rPr>
              <w:t>个百分点</w:t>
            </w:r>
            <w:r>
              <w:rPr>
                <w:rFonts w:ascii="Times New Roman" w:hAnsi="Times New Roman"/>
                <w:bCs/>
                <w:iCs/>
                <w:color w:val="000000"/>
                <w:sz w:val="24"/>
                <w:szCs w:val="24"/>
              </w:rPr>
              <w:t>。高附加值海外项目的落地，有效拉动中国瑞林的整体盈利水平上行，对冲了部分国内业务波动带来的压力，盈利结构持续向好。谢谢！</w:t>
            </w:r>
          </w:p>
          <w:p w14:paraId="169BE818">
            <w:pPr>
              <w:spacing w:line="360" w:lineRule="auto"/>
              <w:rPr>
                <w:rFonts w:ascii="Times New Roman" w:hAnsi="Times New Roman"/>
                <w:bCs/>
                <w:iCs/>
                <w:color w:val="000000"/>
                <w:sz w:val="24"/>
                <w:szCs w:val="24"/>
              </w:rPr>
            </w:pPr>
          </w:p>
          <w:p w14:paraId="537212CE">
            <w:pPr>
              <w:spacing w:line="360" w:lineRule="auto"/>
              <w:rPr>
                <w:rFonts w:ascii="Times New Roman" w:hAnsi="Times New Roman"/>
                <w:b/>
                <w:iCs/>
                <w:color w:val="000000"/>
                <w:sz w:val="24"/>
                <w:szCs w:val="24"/>
              </w:rPr>
            </w:pPr>
            <w:r>
              <w:rPr>
                <w:rFonts w:ascii="Times New Roman" w:hAnsi="Times New Roman"/>
                <w:b/>
                <w:iCs/>
                <w:color w:val="000000"/>
                <w:sz w:val="24"/>
                <w:szCs w:val="24"/>
              </w:rPr>
              <w:t>问题2、上半年营收下滑但净利增长，装备集成收入大幅下降，请问下半年装备集成业务确认节奏如何？</w:t>
            </w:r>
          </w:p>
          <w:p w14:paraId="18969A4C">
            <w:pPr>
              <w:spacing w:line="360" w:lineRule="auto"/>
              <w:rPr>
                <w:rFonts w:ascii="Times New Roman" w:hAnsi="Times New Roman"/>
                <w:bCs/>
                <w:iCs/>
                <w:color w:val="000000"/>
                <w:sz w:val="24"/>
                <w:szCs w:val="24"/>
              </w:rPr>
            </w:pPr>
            <w:r>
              <w:rPr>
                <w:rFonts w:ascii="Times New Roman" w:hAnsi="Times New Roman"/>
                <w:bCs/>
                <w:iCs/>
                <w:color w:val="000000"/>
                <w:sz w:val="24"/>
                <w:szCs w:val="24"/>
              </w:rPr>
              <w:t>答：尊敬的投资者，您好，感谢您对中国瑞林的关注与支持。2026年上半年，公司装备集成业务实现营业收入2.19亿元，同比下降56.96%，主要原因系多个重大装备集成项目尚处于执行阶段、收入确认具有阶段性特征，并非订单层面的萎缩。从市场开发看，公司上半年新签设备供货销售合同额达15.5亿元，同比增长3755%，为后续装备集成业务收入释放奠定了较好基础。随着在手重大装备集成项目陆续推进和交付，相关收入有望在后续报告期逐步体现。谢谢！</w:t>
            </w:r>
          </w:p>
          <w:p w14:paraId="3DBCDE3C">
            <w:pPr>
              <w:spacing w:line="360" w:lineRule="auto"/>
              <w:rPr>
                <w:rFonts w:ascii="Times New Roman" w:hAnsi="Times New Roman"/>
                <w:bCs/>
                <w:iCs/>
                <w:color w:val="000000"/>
                <w:sz w:val="24"/>
                <w:szCs w:val="24"/>
              </w:rPr>
            </w:pPr>
          </w:p>
          <w:p w14:paraId="76DDBA37">
            <w:pPr>
              <w:spacing w:line="360" w:lineRule="auto"/>
              <w:rPr>
                <w:rFonts w:ascii="Times New Roman" w:hAnsi="Times New Roman"/>
                <w:b/>
                <w:iCs/>
                <w:color w:val="000000"/>
                <w:sz w:val="24"/>
                <w:szCs w:val="24"/>
              </w:rPr>
            </w:pPr>
            <w:r>
              <w:rPr>
                <w:rFonts w:ascii="Times New Roman" w:hAnsi="Times New Roman"/>
                <w:b/>
                <w:iCs/>
                <w:color w:val="000000"/>
                <w:sz w:val="24"/>
                <w:szCs w:val="24"/>
              </w:rPr>
              <w:t>问题3、</w:t>
            </w:r>
            <w:r>
              <w:rPr>
                <w:rFonts w:ascii="Times New Roman" w:hAnsi="Times New Roman"/>
                <w:b/>
                <w:bCs/>
                <w:sz w:val="24"/>
                <w:szCs w:val="24"/>
              </w:rPr>
              <w:t>上半年境外收入占比已到73%、毛利率超54%，海外业务对业绩的支撑越来越明显。能否具体讲讲境外业务的最新表现？另外像西芒杜这类标志性大项目，目前执行到什么阶段了？</w:t>
            </w:r>
          </w:p>
          <w:p w14:paraId="5113355F">
            <w:pPr>
              <w:spacing w:line="360" w:lineRule="auto"/>
              <w:rPr>
                <w:rFonts w:ascii="Times New Roman" w:hAnsi="Times New Roman"/>
                <w:bCs/>
                <w:iCs/>
                <w:color w:val="000000"/>
                <w:sz w:val="24"/>
                <w:szCs w:val="24"/>
              </w:rPr>
            </w:pPr>
            <w:r>
              <w:rPr>
                <w:rFonts w:ascii="Times New Roman" w:hAnsi="Times New Roman"/>
                <w:bCs/>
                <w:iCs/>
                <w:color w:val="000000"/>
                <w:sz w:val="24"/>
                <w:szCs w:val="24"/>
              </w:rPr>
              <w:t>答：尊敬的投资者，您好，感谢您对中国瑞林的关注与支持。2026年上半年，公司国际化战略取得了新的突破，上半年实现境外收入5.03亿元，占营业收入的比重达73.06%，较上年同期提升3.60%；境外业务毛利率54.36%，较上年同期提升16.96</w:t>
            </w:r>
            <w:r>
              <w:rPr>
                <w:rFonts w:hint="default" w:ascii="Times New Roman" w:hAnsi="Times New Roman"/>
                <w:bCs/>
                <w:iCs/>
                <w:color w:val="000000"/>
                <w:sz w:val="24"/>
                <w:szCs w:val="24"/>
              </w:rPr>
              <w:t>个百分点</w:t>
            </w:r>
            <w:r>
              <w:rPr>
                <w:rFonts w:ascii="Times New Roman" w:hAnsi="Times New Roman"/>
                <w:bCs/>
                <w:iCs/>
                <w:color w:val="000000"/>
                <w:sz w:val="24"/>
                <w:szCs w:val="24"/>
              </w:rPr>
              <w:t>。</w:t>
            </w:r>
            <w:bookmarkStart w:id="2" w:name="_GoBack"/>
            <w:bookmarkEnd w:id="2"/>
          </w:p>
          <w:p w14:paraId="013D381A">
            <w:pPr>
              <w:spacing w:line="360" w:lineRule="auto"/>
              <w:rPr>
                <w:rFonts w:ascii="Times New Roman" w:hAnsi="Times New Roman"/>
                <w:bCs/>
                <w:iCs/>
                <w:color w:val="000000"/>
                <w:sz w:val="24"/>
                <w:szCs w:val="24"/>
              </w:rPr>
            </w:pPr>
            <w:r>
              <w:rPr>
                <w:rFonts w:ascii="Times New Roman" w:hAnsi="Times New Roman"/>
                <w:bCs/>
                <w:iCs/>
                <w:color w:val="000000"/>
                <w:sz w:val="24"/>
                <w:szCs w:val="24"/>
              </w:rPr>
              <w:t>上半年公司积极开发海外市场，新签境外销售合同额24.53亿元，占总销售合同额85%，同比增长1675%，海外市场已成为订单增长的核心引擎。报告期内，公司与全球矿业巨头的合作持续深化，接连斩获多项重大海外订单：一是与必和必拓旗下奥林匹克坝有限公司签署南澳大利亚奥林匹克坝冶炼厂与精炼厂扩建项目工程设计及设备供应合同，合同金额约2.4亿澳元；二是与库姆托尔运营公司在吉尔吉斯斯坦签署托戈洛克金矿EPC总承包项目合同，签约金额1.128亿美元，项目涵盖选矿厂及尾矿库建设等核心内容；此外，海外业务还成功签约刚果（金）TFM铜钴矿扩建项目硫化铜精矿火法冶炼设计项目服务、赞比亚中央省卡通巴铜矿项目全厂自动化项目等。目前，公司国外业务遍及美国、澳大利亚、德国、加拿大、巴西、阿根廷、智利、南非、刚果（金）、印度尼西亚、吉尔吉斯斯坦等多个国家和地区，公司具备丰富的国际工程项目执行经验，已成为我国有色金属领域技术输出的重要平台之一。</w:t>
            </w:r>
          </w:p>
          <w:p w14:paraId="49D3539C">
            <w:pPr>
              <w:spacing w:line="360" w:lineRule="auto"/>
              <w:rPr>
                <w:rFonts w:ascii="Times New Roman" w:hAnsi="Times New Roman"/>
                <w:bCs/>
                <w:iCs/>
                <w:color w:val="000000"/>
                <w:sz w:val="24"/>
                <w:szCs w:val="24"/>
              </w:rPr>
            </w:pPr>
            <w:r>
              <w:rPr>
                <w:rFonts w:ascii="Times New Roman" w:hAnsi="Times New Roman"/>
                <w:bCs/>
                <w:iCs/>
                <w:color w:val="000000"/>
                <w:sz w:val="24"/>
                <w:szCs w:val="24"/>
              </w:rPr>
              <w:t>上半年公司深度参与力拓Simfer西芒杜铁矿项目建设，为业主方提供多专业协同、全周期覆盖的工程技术支撑与项目管理服务，现阶段重点推进工艺机械设备与电气控制系统的系统调试，后续将协同各参建单位做好项目收尾工作，保障项目顺利转入稳定运营。谢谢！</w:t>
            </w:r>
          </w:p>
          <w:p w14:paraId="1D606EC8">
            <w:pPr>
              <w:spacing w:line="360" w:lineRule="auto"/>
              <w:rPr>
                <w:rFonts w:ascii="Times New Roman" w:hAnsi="Times New Roman" w:eastAsia="Helvetica"/>
                <w:color w:val="333333"/>
                <w:sz w:val="24"/>
                <w:szCs w:val="24"/>
                <w:shd w:val="clear" w:color="auto" w:fill="F7F7F7"/>
              </w:rPr>
            </w:pPr>
          </w:p>
          <w:p w14:paraId="34067A46">
            <w:pPr>
              <w:spacing w:line="360" w:lineRule="auto"/>
              <w:rPr>
                <w:rFonts w:ascii="Times New Roman" w:hAnsi="Times New Roman"/>
                <w:b/>
                <w:bCs/>
                <w:iCs/>
                <w:color w:val="000000"/>
                <w:sz w:val="24"/>
                <w:szCs w:val="24"/>
              </w:rPr>
            </w:pPr>
            <w:r>
              <w:rPr>
                <w:rFonts w:ascii="Times New Roman" w:hAnsi="Times New Roman"/>
                <w:b/>
                <w:iCs/>
                <w:color w:val="000000"/>
                <w:sz w:val="24"/>
                <w:szCs w:val="24"/>
              </w:rPr>
              <w:t>问题4、</w:t>
            </w:r>
            <w:r>
              <w:rPr>
                <w:rFonts w:ascii="Times New Roman" w:hAnsi="Times New Roman"/>
                <w:b/>
                <w:bCs/>
                <w:sz w:val="24"/>
                <w:szCs w:val="24"/>
              </w:rPr>
              <w:t>上半年公司新签订单表现亮眼，基于目前的订单储备，公司对下半年业绩有何预期？</w:t>
            </w:r>
          </w:p>
          <w:p w14:paraId="62943A85">
            <w:pPr>
              <w:spacing w:line="360" w:lineRule="auto"/>
              <w:rPr>
                <w:rFonts w:ascii="Times New Roman" w:hAnsi="Times New Roman"/>
                <w:bCs/>
                <w:iCs/>
                <w:color w:val="000000"/>
                <w:sz w:val="24"/>
                <w:szCs w:val="24"/>
              </w:rPr>
            </w:pPr>
            <w:r>
              <w:rPr>
                <w:rFonts w:ascii="Times New Roman" w:hAnsi="Times New Roman"/>
                <w:bCs/>
                <w:iCs/>
                <w:color w:val="000000"/>
                <w:sz w:val="24"/>
                <w:szCs w:val="24"/>
              </w:rPr>
              <w:t>答：尊敬的投资者，您好，感谢您对中国瑞林的关注与支持。2026年上半年，公司位列2026年度全球ENR“国际工程设计企业225强”第124位，市场开发取得积极进展。新签销售合同额28.86亿元，同比增长116%。其中，设计咨询类合同额5.26亿元；总承包类销售合同额8.1亿元，同比增长2634%；设备供货销售合同额15.5亿元，同比增长3755%。公司全球化战略实现突破，境外销售合同额24.53亿元，占总销售合同额的85%，同比增长1675%，境外订单已成为公司新签订单的主力。后续随着新签订单陆续交付、境外订单持续完成，公司盈利质量有望延续。谢谢！</w:t>
            </w:r>
          </w:p>
          <w:p w14:paraId="3DF1A292">
            <w:pPr>
              <w:spacing w:line="360" w:lineRule="auto"/>
              <w:rPr>
                <w:rFonts w:ascii="Times New Roman" w:hAnsi="Times New Roman" w:eastAsia="Helvetica"/>
                <w:color w:val="333333"/>
                <w:sz w:val="24"/>
                <w:szCs w:val="24"/>
                <w:shd w:val="clear" w:color="auto" w:fill="F7F7F7"/>
              </w:rPr>
            </w:pPr>
          </w:p>
          <w:p w14:paraId="38A0FF7E">
            <w:pPr>
              <w:spacing w:line="360" w:lineRule="auto"/>
              <w:rPr>
                <w:rFonts w:ascii="Times New Roman" w:hAnsi="Times New Roman"/>
                <w:b/>
                <w:iCs/>
                <w:color w:val="000000"/>
                <w:sz w:val="24"/>
                <w:szCs w:val="24"/>
              </w:rPr>
            </w:pPr>
            <w:r>
              <w:rPr>
                <w:rFonts w:ascii="Times New Roman" w:hAnsi="Times New Roman"/>
                <w:b/>
                <w:iCs/>
                <w:color w:val="000000"/>
                <w:sz w:val="24"/>
                <w:szCs w:val="24"/>
              </w:rPr>
              <w:t>问题5、</w:t>
            </w:r>
            <w:r>
              <w:rPr>
                <w:rFonts w:ascii="Times New Roman" w:hAnsi="Times New Roman"/>
                <w:b/>
                <w:bCs/>
                <w:sz w:val="24"/>
                <w:szCs w:val="24"/>
              </w:rPr>
              <w:t>公司是否有向产业链上游延伸的规划，具体思路是什么？</w:t>
            </w:r>
          </w:p>
          <w:p w14:paraId="08E7FD5D">
            <w:pPr>
              <w:spacing w:line="360" w:lineRule="auto"/>
              <w:rPr>
                <w:rFonts w:ascii="Times New Roman" w:hAnsi="Times New Roman"/>
                <w:bCs/>
                <w:iCs/>
                <w:color w:val="000000"/>
                <w:sz w:val="24"/>
                <w:szCs w:val="24"/>
              </w:rPr>
            </w:pPr>
            <w:r>
              <w:rPr>
                <w:rFonts w:ascii="Times New Roman" w:hAnsi="Times New Roman"/>
                <w:bCs/>
                <w:iCs/>
                <w:color w:val="000000"/>
                <w:sz w:val="24"/>
                <w:szCs w:val="24"/>
              </w:rPr>
              <w:t>答：尊敬的投资者，您好，感谢您对中国瑞林的关注与支持。</w:t>
            </w:r>
            <w:r>
              <w:rPr>
                <w:rFonts w:hint="eastAsia" w:ascii="Times New Roman" w:hAnsi="Times New Roman"/>
                <w:bCs/>
                <w:iCs/>
                <w:color w:val="000000"/>
                <w:sz w:val="24"/>
                <w:szCs w:val="24"/>
              </w:rPr>
              <w:t>“</w:t>
            </w:r>
            <w:r>
              <w:rPr>
                <w:rFonts w:ascii="Times New Roman" w:hAnsi="Times New Roman"/>
                <w:bCs/>
                <w:iCs/>
                <w:color w:val="000000"/>
                <w:sz w:val="24"/>
                <w:szCs w:val="24"/>
              </w:rPr>
              <w:t>十五五</w:t>
            </w:r>
            <w:r>
              <w:rPr>
                <w:rFonts w:hint="eastAsia" w:ascii="Times New Roman" w:hAnsi="Times New Roman"/>
                <w:bCs/>
                <w:iCs/>
                <w:color w:val="000000"/>
                <w:sz w:val="24"/>
                <w:szCs w:val="24"/>
              </w:rPr>
              <w:t>”</w:t>
            </w:r>
            <w:r>
              <w:rPr>
                <w:rFonts w:ascii="Times New Roman" w:hAnsi="Times New Roman"/>
                <w:bCs/>
                <w:iCs/>
                <w:color w:val="000000"/>
                <w:sz w:val="24"/>
                <w:szCs w:val="24"/>
              </w:rPr>
              <w:t>期间，公司有意向有色金属产业链上游资源开发端拓展，发挥在有色金属领域的技术优势，遵循稳健经营、风险可控的原则，以跟投、参股的方式参与矿产资源的获取和开发。矿种选择上，聚焦金、银、铜、铅、锌、镍、钴、锂、钨等有色金属品种；区域布局上，海外矿山重点跟踪非洲和中亚等与中资企业合作基础较好、经营稳定性较高的区域，国内重点关注新疆、西藏、内蒙等矿产资源丰富地区。为推进该战略，公司已专门新成立投资部负责相关业务。谢谢！</w:t>
            </w:r>
          </w:p>
          <w:p w14:paraId="40BC565F">
            <w:pPr>
              <w:spacing w:line="360" w:lineRule="auto"/>
              <w:rPr>
                <w:rFonts w:ascii="Times New Roman" w:hAnsi="Times New Roman"/>
                <w:bCs/>
                <w:iCs/>
                <w:color w:val="000000"/>
                <w:sz w:val="24"/>
                <w:szCs w:val="24"/>
              </w:rPr>
            </w:pPr>
          </w:p>
          <w:p w14:paraId="144A575A">
            <w:pPr>
              <w:spacing w:line="360" w:lineRule="auto"/>
              <w:rPr>
                <w:rFonts w:ascii="Times New Roman" w:hAnsi="Times New Roman"/>
                <w:b/>
                <w:iCs/>
                <w:color w:val="000000"/>
                <w:sz w:val="24"/>
                <w:szCs w:val="24"/>
              </w:rPr>
            </w:pPr>
            <w:bookmarkStart w:id="0" w:name="_Toc116131384"/>
            <w:r>
              <w:rPr>
                <w:rFonts w:ascii="Times New Roman" w:hAnsi="Times New Roman"/>
                <w:b/>
                <w:iCs/>
                <w:color w:val="000000"/>
                <w:sz w:val="24"/>
                <w:szCs w:val="24"/>
              </w:rPr>
              <w:t>问题6、</w:t>
            </w:r>
            <w:bookmarkEnd w:id="0"/>
            <w:r>
              <w:rPr>
                <w:rFonts w:ascii="Times New Roman" w:hAnsi="Times New Roman"/>
                <w:b/>
                <w:iCs/>
                <w:color w:val="000000"/>
                <w:sz w:val="24"/>
                <w:szCs w:val="24"/>
              </w:rPr>
              <w:t>上半年公司在技术创新与研发投入方面取得了哪些成果？</w:t>
            </w:r>
          </w:p>
          <w:p w14:paraId="0305CD33">
            <w:pPr>
              <w:spacing w:line="360" w:lineRule="auto"/>
              <w:rPr>
                <w:rFonts w:ascii="Times New Roman" w:hAnsi="Times New Roman"/>
                <w:bCs/>
                <w:iCs/>
                <w:color w:val="000000"/>
                <w:sz w:val="24"/>
                <w:szCs w:val="24"/>
              </w:rPr>
            </w:pPr>
            <w:r>
              <w:rPr>
                <w:rFonts w:ascii="Times New Roman" w:hAnsi="Times New Roman"/>
                <w:bCs/>
                <w:iCs/>
                <w:color w:val="000000"/>
                <w:sz w:val="24"/>
                <w:szCs w:val="24"/>
              </w:rPr>
              <w:t>答：尊敬的投资者，您好，感谢您对中国瑞林的关注与支持。公司始终将技术创新作为发展的核心驱动力。2026年上半年，公司研发投入5,716.82万元，同比增长22.00%；报告期内获专利授权34项，其中国内发明专利9项、实用新型专利24项、外观设计专利1项，申请登记软件著作权21项。2026年7月，公司“复杂硫氧混合铜钴矿高效选冶创新技术与装备及产业化”项目获国家科技进步二等奖。谢谢！</w:t>
            </w:r>
          </w:p>
          <w:p w14:paraId="109DC52B">
            <w:pPr>
              <w:spacing w:line="360" w:lineRule="auto"/>
              <w:rPr>
                <w:rFonts w:ascii="Times New Roman" w:hAnsi="Times New Roman"/>
                <w:bCs/>
                <w:iCs/>
                <w:color w:val="000000"/>
                <w:sz w:val="24"/>
                <w:szCs w:val="24"/>
              </w:rPr>
            </w:pPr>
          </w:p>
          <w:p w14:paraId="0FA1B979">
            <w:pPr>
              <w:spacing w:line="360" w:lineRule="auto"/>
              <w:rPr>
                <w:rFonts w:ascii="Times New Roman" w:hAnsi="Times New Roman"/>
                <w:bCs/>
                <w:iCs/>
                <w:color w:val="000000"/>
                <w:sz w:val="24"/>
                <w:szCs w:val="24"/>
              </w:rPr>
            </w:pPr>
            <w:bookmarkStart w:id="1" w:name="_Toc116131385"/>
            <w:r>
              <w:rPr>
                <w:rFonts w:ascii="Times New Roman" w:hAnsi="Times New Roman"/>
                <w:b/>
                <w:iCs/>
                <w:color w:val="000000"/>
                <w:sz w:val="24"/>
                <w:szCs w:val="24"/>
              </w:rPr>
              <w:t>问题7、</w:t>
            </w:r>
            <w:bookmarkEnd w:id="1"/>
            <w:r>
              <w:rPr>
                <w:rFonts w:ascii="Times New Roman" w:hAnsi="Times New Roman"/>
                <w:b/>
                <w:iCs/>
                <w:color w:val="000000"/>
                <w:sz w:val="24"/>
                <w:szCs w:val="24"/>
              </w:rPr>
              <w:t>行业都在讲高端化、绿色化、智能化，公司跟华为合作的铜冶炼AI大模型、华刚的智慧调度系统也受到关注。能否具体讲讲公司转型的布局和商业化落地情况？</w:t>
            </w:r>
          </w:p>
          <w:p w14:paraId="4A551FF0">
            <w:pPr>
              <w:spacing w:line="360" w:lineRule="auto"/>
              <w:rPr>
                <w:rFonts w:ascii="Times New Roman" w:hAnsi="Times New Roman"/>
                <w:bCs/>
                <w:iCs/>
                <w:color w:val="000000"/>
                <w:sz w:val="24"/>
                <w:szCs w:val="24"/>
              </w:rPr>
            </w:pPr>
            <w:r>
              <w:rPr>
                <w:rFonts w:ascii="Times New Roman" w:hAnsi="Times New Roman"/>
                <w:bCs/>
                <w:iCs/>
                <w:color w:val="000000"/>
                <w:sz w:val="24"/>
                <w:szCs w:val="24"/>
              </w:rPr>
              <w:t>答：尊敬的投资者，您好，感谢您对中国瑞林的关注与支持。公司依托领先的技术创新能力与装备制造优势，正深入推进“技术+管理+资本”协同驱动。数智化方面，公司与华为合作建设行业首个铜冶炼AI垂类大模型，打造全三维数字化孪生标杆工厂；开发了硫酸转化先进控制系统、智慧渣缓冷等智能化产品；报告期内，由公司携手中铁资源旗下华刚矿业联合打造的三维可视化智慧调度系统顺利完成验收并全面投运，项目依托我司NDI全流程数智化整体解决方案落地建成，实现“一屏观全矿、一网管全域”综合调度模式。绿色低碳方面，公司掌握超低排放、固废资源化等核心技术，宁夏天元锰业国内首条“脱硫石膏+电解锰渣制酸”生产线成功投产。高端装备方面，“高效能铝电解成套机组”入选江西省首台（套）装备目录，技术已直接转化为紫金矿业年产20万吨智能电解设计+供货项目、中铁资源华刚矿业三维调度系统项目等订单，同时公司多项技术首次以签订技术许可合同形式成套输出海外，开创了科技成果转化新模式。此外，公司正在推进组织变革，成立大事业部，主动打破专业壁垒，促进跨专业融合，打造更加敏捷高效的团队应对市场变化。还设立了瑞林创新研究院，设置矿山、冶金、化工环保、智能装备、城市更新等5个研究中心，前瞻性布局核心工艺、装备及智能化领域知识产权，从而加快绿色矿山、低碳冶金、环境治理、工业数智化、模块化智能建造等业务更优更好发展。谢谢！</w:t>
            </w:r>
          </w:p>
          <w:p w14:paraId="3EB710E1">
            <w:pPr>
              <w:spacing w:line="360" w:lineRule="auto"/>
              <w:rPr>
                <w:rFonts w:ascii="Times New Roman" w:hAnsi="Times New Roman"/>
                <w:bCs/>
                <w:iCs/>
                <w:color w:val="000000"/>
                <w:sz w:val="24"/>
                <w:szCs w:val="24"/>
              </w:rPr>
            </w:pPr>
          </w:p>
          <w:p w14:paraId="13115B74">
            <w:pPr>
              <w:spacing w:line="360" w:lineRule="auto"/>
              <w:rPr>
                <w:rFonts w:ascii="Times New Roman" w:hAnsi="Times New Roman"/>
                <w:bCs/>
                <w:iCs/>
                <w:color w:val="000000"/>
                <w:sz w:val="24"/>
                <w:szCs w:val="24"/>
              </w:rPr>
            </w:pPr>
            <w:r>
              <w:rPr>
                <w:rFonts w:ascii="Times New Roman" w:hAnsi="Times New Roman"/>
                <w:b/>
                <w:iCs/>
                <w:color w:val="000000"/>
                <w:sz w:val="24"/>
                <w:szCs w:val="24"/>
              </w:rPr>
              <w:t>问题8、公司2026年半年度利润分配预案是怎样的，后续在股东回报方面有何安排？</w:t>
            </w:r>
          </w:p>
          <w:p w14:paraId="62A5EF38">
            <w:pPr>
              <w:spacing w:line="360" w:lineRule="auto"/>
              <w:rPr>
                <w:rFonts w:ascii="Times New Roman" w:hAnsi="Times New Roman"/>
                <w:bCs/>
                <w:iCs/>
                <w:color w:val="000000"/>
                <w:sz w:val="24"/>
                <w:szCs w:val="24"/>
              </w:rPr>
            </w:pPr>
            <w:r>
              <w:rPr>
                <w:rFonts w:ascii="Times New Roman" w:hAnsi="Times New Roman"/>
                <w:bCs/>
                <w:iCs/>
                <w:color w:val="000000"/>
                <w:sz w:val="24"/>
                <w:szCs w:val="24"/>
              </w:rPr>
              <w:t>答：尊敬的投资者，您好，感谢您对中国瑞林的关注与支持。在2026年半年度利润分配方面，根据董事会决议，公司2026年半年度拟定的利润分配预案为不分配、不转增。在股东回报机制上，公司积极践行以投资者为本的发展理念，坚持长期稳定的利润分配政策。根据中国证监会《上市公司章程指引》《上市公司监管指引第3号——上市公司现金分红》等规定，公司在《公司章程》中约定了利润分配原则。2025年度，公司以股权登记日总股本120,000,000股为基数，向全体股东每10股派发现金红利5.00元（含税），合计派发现金红利6,000万元（含税），占2025年度归母净利润的37.19%；2026年上半年度，公司已完成2025年度权益分派的实施工作，让全体股东切实获得收益。未来公司将从可持续发展的角度出发，综合考虑公司经营发展实际情况、社会资金成本和融资环境等方面因素，建立对投资者持续、稳定、科学、可预期的回报规划和机制，对利润分配作出积极、明确的制度性安排，从而保证公司利润分配政策的连续性和稳定性。谢谢！</w:t>
            </w:r>
          </w:p>
          <w:p w14:paraId="33982A4F">
            <w:pPr>
              <w:spacing w:line="360" w:lineRule="auto"/>
              <w:rPr>
                <w:rFonts w:ascii="Times New Roman" w:hAnsi="Times New Roman"/>
                <w:bCs/>
                <w:iCs/>
                <w:color w:val="000000"/>
                <w:sz w:val="24"/>
                <w:szCs w:val="24"/>
              </w:rPr>
            </w:pPr>
          </w:p>
          <w:p w14:paraId="2BF4FA42">
            <w:pPr>
              <w:spacing w:line="360" w:lineRule="auto"/>
              <w:rPr>
                <w:rFonts w:ascii="Times New Roman" w:hAnsi="Times New Roman"/>
                <w:b/>
                <w:iCs/>
                <w:color w:val="000000"/>
                <w:sz w:val="24"/>
                <w:szCs w:val="24"/>
              </w:rPr>
            </w:pPr>
            <w:r>
              <w:rPr>
                <w:rFonts w:ascii="Times New Roman" w:hAnsi="Times New Roman"/>
                <w:b/>
                <w:iCs/>
                <w:color w:val="000000"/>
                <w:sz w:val="24"/>
                <w:szCs w:val="24"/>
              </w:rPr>
              <w:t>问题9、公司海外收入占比七成以上，近期国际局势也不平静。作为投资者比较担心地缘风险，公司怎么评估这类风险，又做了哪些具体应对？</w:t>
            </w:r>
          </w:p>
          <w:p w14:paraId="6289A96A">
            <w:pPr>
              <w:spacing w:line="360" w:lineRule="auto"/>
              <w:rPr>
                <w:rFonts w:ascii="Times New Roman" w:hAnsi="Times New Roman"/>
                <w:bCs/>
                <w:iCs/>
                <w:color w:val="000000"/>
                <w:sz w:val="24"/>
                <w:szCs w:val="24"/>
              </w:rPr>
            </w:pPr>
            <w:r>
              <w:rPr>
                <w:rFonts w:ascii="Times New Roman" w:hAnsi="Times New Roman"/>
                <w:bCs/>
                <w:iCs/>
                <w:color w:val="000000"/>
                <w:sz w:val="24"/>
                <w:szCs w:val="24"/>
              </w:rPr>
              <w:t>答：尊敬的投资者，您好，感谢您对中国瑞林的关注与支持。公司境外业务主要集中在中亚、澳洲、非洲、东南亚等地区，处于地缘冲突区域业务占比较低，核心市场受影响较小，且公司建立了覆盖投资、财务、法律、合规、廉洁、安全生产的全面风险管理体系，严格执行“三重一大”决策制度；对海外项目实行专项风险评估与动态监控，规范出国管理，强化境外资产安全，公司通过多年国际项目执行积累了丰富的属地化经验。公司将动态关注局势变化，确保持续稳健经营，谢谢！</w:t>
            </w:r>
          </w:p>
          <w:p w14:paraId="56352671">
            <w:pPr>
              <w:spacing w:line="360" w:lineRule="auto"/>
              <w:rPr>
                <w:rFonts w:ascii="Times New Roman" w:hAnsi="Times New Roman"/>
                <w:bCs/>
                <w:iCs/>
                <w:color w:val="000000"/>
                <w:sz w:val="24"/>
                <w:szCs w:val="24"/>
              </w:rPr>
            </w:pPr>
          </w:p>
          <w:p w14:paraId="50109C36">
            <w:pPr>
              <w:spacing w:line="360" w:lineRule="auto"/>
              <w:rPr>
                <w:rFonts w:ascii="Times New Roman" w:hAnsi="Times New Roman"/>
                <w:b/>
                <w:iCs/>
                <w:color w:val="000000"/>
                <w:sz w:val="24"/>
                <w:szCs w:val="24"/>
              </w:rPr>
            </w:pPr>
            <w:r>
              <w:rPr>
                <w:rFonts w:ascii="Times New Roman" w:hAnsi="Times New Roman"/>
                <w:b/>
                <w:iCs/>
                <w:color w:val="000000"/>
                <w:sz w:val="24"/>
                <w:szCs w:val="24"/>
              </w:rPr>
              <w:t>问题10、公司在ESG治理与可持续发展方面做了哪些努力？</w:t>
            </w:r>
          </w:p>
          <w:p w14:paraId="6EE60729">
            <w:pPr>
              <w:spacing w:line="360" w:lineRule="auto"/>
              <w:rPr>
                <w:rFonts w:ascii="Times New Roman" w:hAnsi="Times New Roman"/>
                <w:bCs/>
                <w:iCs/>
                <w:color w:val="000000"/>
                <w:sz w:val="24"/>
                <w:szCs w:val="24"/>
              </w:rPr>
            </w:pPr>
            <w:r>
              <w:rPr>
                <w:rFonts w:ascii="Times New Roman" w:hAnsi="Times New Roman"/>
                <w:bCs/>
                <w:iCs/>
                <w:color w:val="000000"/>
                <w:sz w:val="24"/>
                <w:szCs w:val="24"/>
              </w:rPr>
              <w:t>答：尊敬的投资者，您好，感谢您对中国瑞林的关注与支持。公司高度重视ESG治理与可持续发展，将绿色发展、合规运营与社会责任融入日常经营，于2026年4月发布首份ESG报告，并且首年披露即获得华证指数A级评级，位列125家同行业A股上市公司第16名，体现了资本市场对公司可持续发展能力的高度认可。在环境价值创造方面，公司以技术创新赋能绿色发展，将低碳、环保理念贯穿项目全生命周期，攻坚“除汞项目”实现技术突破，探索“光储一体化”矿山绿色清洁能源解决方案，并发挥“工艺+IT”融合优势打造数字技术护城河，推动工程设计与项目运营节能提效，同时紧扣国家固废治理战略，以专业能力助力生态环境治理。在社会价值践行方面，公司主动融入国家“走出去”战略，带动中国装备、中国标准对外输出，促进全球矿业协同；同时将员工视为核心财富，培养熟悉国际规则的专业团队；秉持“成为客户可信赖的整体解决方案合作伙伴”理念，构建共生共赢生态，并积极投身乡村振兴等社会责任实践。在公司治理提升方面，公司持续推进组织与管理优化，打破专业壁垒、促进跨专业融合，提升运营敏捷性；坚持“以价值创造者为本”，完善人才机制；树立“合规创造价值”理念，筑牢安全、合规、品牌三大生命线，以规范治理保障行稳致远。2026年，公司将继续以ESG理念为指引，推动ESG与企业发展深度融合。谢谢！</w:t>
            </w:r>
          </w:p>
          <w:p w14:paraId="00C047F8">
            <w:pPr>
              <w:spacing w:line="360" w:lineRule="auto"/>
              <w:rPr>
                <w:rFonts w:ascii="Times New Roman" w:hAnsi="Times New Roman"/>
                <w:bCs/>
                <w:iCs/>
                <w:color w:val="000000"/>
                <w:sz w:val="24"/>
                <w:szCs w:val="24"/>
              </w:rPr>
            </w:pPr>
          </w:p>
          <w:p w14:paraId="66172303">
            <w:pPr>
              <w:spacing w:line="360" w:lineRule="auto"/>
              <w:rPr>
                <w:rFonts w:ascii="Times New Roman" w:hAnsi="Times New Roman"/>
                <w:b/>
                <w:iCs/>
                <w:color w:val="000000"/>
                <w:sz w:val="24"/>
                <w:szCs w:val="24"/>
              </w:rPr>
            </w:pPr>
            <w:r>
              <w:rPr>
                <w:rFonts w:ascii="Times New Roman" w:hAnsi="Times New Roman"/>
                <w:b/>
                <w:iCs/>
                <w:color w:val="000000"/>
                <w:sz w:val="24"/>
                <w:szCs w:val="24"/>
              </w:rPr>
              <w:t>问题11、为何上半年公司现金流呈现净额为负，主要是季节性因素还是回款压力？后续会不会改善？</w:t>
            </w:r>
          </w:p>
          <w:p w14:paraId="20A70E7F">
            <w:pPr>
              <w:spacing w:line="360" w:lineRule="auto"/>
              <w:rPr>
                <w:rFonts w:ascii="Times New Roman" w:hAnsi="Times New Roman"/>
                <w:bCs/>
                <w:iCs/>
                <w:color w:val="000000"/>
                <w:sz w:val="24"/>
                <w:szCs w:val="24"/>
              </w:rPr>
            </w:pPr>
            <w:r>
              <w:rPr>
                <w:rFonts w:ascii="Times New Roman" w:hAnsi="Times New Roman"/>
                <w:bCs/>
                <w:iCs/>
                <w:color w:val="000000"/>
                <w:sz w:val="24"/>
                <w:szCs w:val="24"/>
              </w:rPr>
              <w:t>答：尊敬的投资者，您好，感谢您对中国瑞林的关注与支持。公司2025年全年经营活动现金流净额2.05亿元，较2024年的1.72亿元明显改善。2026年上半年</w:t>
            </w:r>
            <w:r>
              <w:rPr>
                <w:rFonts w:hint="eastAsia" w:ascii="Times New Roman" w:hAnsi="Times New Roman"/>
                <w:bCs/>
                <w:iCs/>
                <w:color w:val="000000"/>
                <w:sz w:val="24"/>
                <w:szCs w:val="24"/>
              </w:rPr>
              <w:t>经营活动</w:t>
            </w:r>
            <w:r>
              <w:rPr>
                <w:rFonts w:ascii="Times New Roman" w:hAnsi="Times New Roman"/>
                <w:bCs/>
                <w:iCs/>
                <w:color w:val="000000"/>
                <w:sz w:val="24"/>
                <w:szCs w:val="24"/>
              </w:rPr>
              <w:t>现金流-9,765.05万元，同比收窄，资金流走势符合行业项目结算的季节性规律，公司加强项目回款管理和进度款结算工作取得积极成效。后续公司将进一步加强现金流管理。谢谢！</w:t>
            </w:r>
          </w:p>
          <w:p w14:paraId="78DA59AA">
            <w:pPr>
              <w:spacing w:line="360" w:lineRule="auto"/>
              <w:rPr>
                <w:rFonts w:ascii="Times New Roman" w:hAnsi="Times New Roman"/>
                <w:bCs/>
                <w:iCs/>
                <w:color w:val="000000"/>
                <w:sz w:val="24"/>
                <w:szCs w:val="24"/>
              </w:rPr>
            </w:pPr>
          </w:p>
          <w:p w14:paraId="762585A4">
            <w:pPr>
              <w:spacing w:line="360" w:lineRule="auto"/>
              <w:rPr>
                <w:rFonts w:ascii="Times New Roman" w:hAnsi="Times New Roman"/>
                <w:b/>
                <w:bCs/>
                <w:iCs/>
                <w:color w:val="000000"/>
                <w:sz w:val="24"/>
                <w:szCs w:val="24"/>
              </w:rPr>
            </w:pPr>
            <w:r>
              <w:rPr>
                <w:rFonts w:ascii="Times New Roman" w:hAnsi="Times New Roman"/>
                <w:b/>
                <w:iCs/>
                <w:color w:val="000000"/>
                <w:sz w:val="24"/>
                <w:szCs w:val="24"/>
              </w:rPr>
              <w:t>问题12、</w:t>
            </w:r>
            <w:r>
              <w:rPr>
                <w:rFonts w:ascii="Times New Roman" w:hAnsi="Times New Roman"/>
                <w:b/>
                <w:bCs/>
                <w:sz w:val="24"/>
              </w:rPr>
              <w:t>赞比亚的工程合同签署的具体时间是？</w:t>
            </w:r>
          </w:p>
          <w:p w14:paraId="7C623BF4">
            <w:pPr>
              <w:spacing w:line="360" w:lineRule="auto"/>
              <w:rPr>
                <w:rFonts w:ascii="Times New Roman" w:hAnsi="Times New Roman"/>
                <w:sz w:val="24"/>
              </w:rPr>
            </w:pPr>
            <w:r>
              <w:rPr>
                <w:rFonts w:ascii="Times New Roman" w:hAnsi="Times New Roman"/>
                <w:bCs/>
                <w:iCs/>
                <w:color w:val="000000"/>
                <w:sz w:val="24"/>
                <w:szCs w:val="24"/>
              </w:rPr>
              <w:t>答：</w:t>
            </w:r>
            <w:r>
              <w:rPr>
                <w:rFonts w:ascii="Times New Roman" w:hAnsi="Times New Roman"/>
                <w:sz w:val="24"/>
              </w:rPr>
              <w:t>尊敬的投资者，您好，感谢您对中国瑞林的关注与支持。具体内容详见公司公告。</w:t>
            </w:r>
          </w:p>
          <w:p w14:paraId="1914E052">
            <w:pPr>
              <w:spacing w:line="360" w:lineRule="auto"/>
              <w:rPr>
                <w:rFonts w:ascii="Times New Roman" w:hAnsi="Times New Roman"/>
                <w:sz w:val="24"/>
              </w:rPr>
            </w:pPr>
          </w:p>
          <w:p w14:paraId="00784A2F">
            <w:pPr>
              <w:spacing w:line="360" w:lineRule="auto"/>
              <w:rPr>
                <w:rFonts w:ascii="Times New Roman" w:hAnsi="Times New Roman"/>
                <w:b/>
                <w:iCs/>
                <w:color w:val="000000"/>
                <w:sz w:val="24"/>
                <w:szCs w:val="24"/>
              </w:rPr>
            </w:pPr>
            <w:r>
              <w:rPr>
                <w:rFonts w:ascii="Times New Roman" w:hAnsi="Times New Roman"/>
                <w:b/>
                <w:iCs/>
                <w:color w:val="000000"/>
                <w:sz w:val="24"/>
                <w:szCs w:val="24"/>
              </w:rPr>
              <w:t>问题13、关于最近公司公告的赞比亚合同中，仅注明</w:t>
            </w:r>
            <w:r>
              <w:rPr>
                <w:rFonts w:hint="eastAsia" w:ascii="Times New Roman" w:hAnsi="Times New Roman"/>
                <w:b/>
                <w:iCs/>
                <w:color w:val="000000"/>
                <w:sz w:val="24"/>
                <w:szCs w:val="24"/>
              </w:rPr>
              <w:t>“</w:t>
            </w:r>
            <w:r>
              <w:rPr>
                <w:rFonts w:ascii="Times New Roman" w:hAnsi="Times New Roman"/>
                <w:b/>
                <w:iCs/>
                <w:color w:val="000000"/>
                <w:sz w:val="24"/>
                <w:szCs w:val="24"/>
              </w:rPr>
              <w:t>近日经双方签字盖章完成</w:t>
            </w:r>
            <w:r>
              <w:rPr>
                <w:rFonts w:hint="eastAsia" w:ascii="Times New Roman" w:hAnsi="Times New Roman"/>
                <w:b/>
                <w:iCs/>
                <w:color w:val="000000"/>
                <w:sz w:val="24"/>
                <w:szCs w:val="24"/>
              </w:rPr>
              <w:t>”</w:t>
            </w:r>
            <w:r>
              <w:rPr>
                <w:rFonts w:ascii="Times New Roman" w:hAnsi="Times New Roman"/>
                <w:b/>
                <w:iCs/>
                <w:color w:val="000000"/>
                <w:sz w:val="24"/>
                <w:szCs w:val="24"/>
              </w:rPr>
              <w:t>，未具体说明日期。请明确签署时间，谢谢。</w:t>
            </w:r>
          </w:p>
          <w:p w14:paraId="5A45B380">
            <w:pPr>
              <w:spacing w:line="360" w:lineRule="auto"/>
              <w:rPr>
                <w:rFonts w:ascii="Times New Roman" w:hAnsi="Times New Roman"/>
                <w:bCs/>
                <w:iCs/>
                <w:color w:val="000000"/>
                <w:sz w:val="24"/>
                <w:szCs w:val="24"/>
              </w:rPr>
            </w:pPr>
            <w:r>
              <w:rPr>
                <w:rFonts w:ascii="Times New Roman" w:hAnsi="Times New Roman"/>
                <w:bCs/>
                <w:iCs/>
                <w:color w:val="000000"/>
                <w:sz w:val="24"/>
                <w:szCs w:val="24"/>
              </w:rPr>
              <w:t>答：尊敬的投资者，您好，感谢您对中国瑞林的关注与支持。公司严格按照法律法规及上海证券交易所的规定进行信息披露，具体内容详见公司公告。</w:t>
            </w:r>
          </w:p>
          <w:p w14:paraId="04241C6C">
            <w:pPr>
              <w:spacing w:line="360" w:lineRule="auto"/>
              <w:rPr>
                <w:rFonts w:ascii="Times New Roman" w:hAnsi="Times New Roman"/>
                <w:bCs/>
                <w:iCs/>
                <w:color w:val="000000"/>
                <w:sz w:val="24"/>
                <w:szCs w:val="24"/>
              </w:rPr>
            </w:pPr>
          </w:p>
          <w:p w14:paraId="1B5D4B1D">
            <w:pPr>
              <w:spacing w:line="360" w:lineRule="auto"/>
              <w:rPr>
                <w:rFonts w:ascii="Times New Roman" w:hAnsi="Times New Roman"/>
                <w:bCs/>
                <w:iCs/>
                <w:color w:val="000000"/>
                <w:sz w:val="24"/>
                <w:szCs w:val="24"/>
              </w:rPr>
            </w:pPr>
            <w:r>
              <w:rPr>
                <w:rFonts w:ascii="Times New Roman" w:hAnsi="Times New Roman"/>
                <w:b/>
                <w:iCs/>
                <w:color w:val="000000"/>
                <w:sz w:val="24"/>
                <w:szCs w:val="24"/>
              </w:rPr>
              <w:t>问题14、海外收入占比超 73%，高毛利海外项目后续订单储备与汇率风险管控措施是什么？</w:t>
            </w:r>
          </w:p>
          <w:p w14:paraId="4874B9C9">
            <w:pPr>
              <w:spacing w:line="360" w:lineRule="auto"/>
              <w:rPr>
                <w:rFonts w:ascii="Times New Roman" w:hAnsi="Times New Roman"/>
                <w:bCs/>
                <w:iCs/>
                <w:color w:val="000000"/>
                <w:sz w:val="24"/>
                <w:szCs w:val="24"/>
              </w:rPr>
            </w:pPr>
            <w:r>
              <w:rPr>
                <w:rFonts w:ascii="Times New Roman" w:hAnsi="Times New Roman"/>
                <w:bCs/>
                <w:iCs/>
                <w:color w:val="000000"/>
                <w:sz w:val="24"/>
                <w:szCs w:val="24"/>
              </w:rPr>
              <w:t>答：尊敬的投资者，您好，感谢您对中国瑞林的关注与支持。公司目前海外项目在手订单充足，具体详见公司于近期发布的签订日常经营重大的合同公告及2026年半年度报告。汇率风险优先通过外币收支自然对冲、合同增设汇率调价条款降低风险，再结合远期结售汇等工具对冲确定现金流，同时配套制度明确审批、止损与复盘机制，管控汇率波动对项目收益和合并报表的冲击。</w:t>
            </w:r>
          </w:p>
          <w:p w14:paraId="5EEFB0FF">
            <w:pPr>
              <w:spacing w:line="360" w:lineRule="auto"/>
              <w:rPr>
                <w:rFonts w:ascii="Times New Roman" w:hAnsi="Times New Roman"/>
                <w:bCs/>
                <w:iCs/>
                <w:color w:val="000000"/>
                <w:sz w:val="24"/>
                <w:szCs w:val="24"/>
              </w:rPr>
            </w:pPr>
          </w:p>
        </w:tc>
      </w:tr>
      <w:tr w14:paraId="7F4ADC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1908" w:type="dxa"/>
            <w:tcBorders>
              <w:tl2br w:val="nil"/>
              <w:tr2bl w:val="nil"/>
            </w:tcBorders>
            <w:vAlign w:val="center"/>
          </w:tcPr>
          <w:p w14:paraId="4DECC40D">
            <w:pPr>
              <w:spacing w:line="360" w:lineRule="auto"/>
              <w:jc w:val="center"/>
              <w:rPr>
                <w:rFonts w:hint="eastAsia" w:ascii="宋体" w:hAnsi="宋体" w:cs="宋体"/>
                <w:b/>
                <w:bCs/>
                <w:sz w:val="20"/>
                <w:szCs w:val="20"/>
              </w:rPr>
            </w:pPr>
            <w:r>
              <w:rPr>
                <w:rFonts w:hint="eastAsia" w:ascii="宋体" w:hAnsi="宋体" w:cs="宋体"/>
                <w:bCs/>
                <w:iCs/>
                <w:color w:val="000000"/>
                <w:sz w:val="24"/>
                <w:szCs w:val="24"/>
              </w:rPr>
              <w:t>关于本次活动是否涉及应披露重大信息的说明</w:t>
            </w:r>
          </w:p>
        </w:tc>
        <w:tc>
          <w:tcPr>
            <w:tcW w:w="6614" w:type="dxa"/>
            <w:tcBorders>
              <w:tl2br w:val="nil"/>
              <w:tr2bl w:val="nil"/>
            </w:tcBorders>
            <w:vAlign w:val="center"/>
          </w:tcPr>
          <w:p w14:paraId="347E8476">
            <w:pPr>
              <w:pStyle w:val="10"/>
              <w:autoSpaceDE w:val="0"/>
              <w:autoSpaceDN w:val="0"/>
              <w:spacing w:before="100" w:beforeAutospacing="1" w:line="360" w:lineRule="auto"/>
              <w:rPr>
                <w:rFonts w:hint="eastAsia" w:ascii="宋体" w:hAnsi="宋体" w:cs="宋体"/>
                <w:sz w:val="20"/>
                <w:szCs w:val="20"/>
              </w:rPr>
            </w:pPr>
            <w:r>
              <w:rPr>
                <w:rFonts w:hint="eastAsia" w:ascii="宋体" w:hAnsi="宋体" w:cs="宋体"/>
                <w:bCs/>
                <w:iCs/>
                <w:color w:val="000000"/>
                <w:sz w:val="24"/>
                <w:szCs w:val="24"/>
              </w:rPr>
              <w:t>本次活动不涉及未公开披露的重大信息。</w:t>
            </w:r>
          </w:p>
        </w:tc>
      </w:tr>
      <w:tr w14:paraId="0CC88B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1908" w:type="dxa"/>
            <w:tcBorders>
              <w:tl2br w:val="nil"/>
              <w:tr2bl w:val="nil"/>
            </w:tcBorders>
            <w:vAlign w:val="center"/>
          </w:tcPr>
          <w:p w14:paraId="6475AF91">
            <w:pPr>
              <w:spacing w:line="360" w:lineRule="auto"/>
              <w:jc w:val="center"/>
              <w:rPr>
                <w:rFonts w:hint="eastAsia" w:ascii="宋体" w:hAnsi="宋体" w:cs="宋体"/>
                <w:bCs/>
                <w:iCs/>
                <w:color w:val="000000"/>
                <w:sz w:val="24"/>
                <w:szCs w:val="24"/>
              </w:rPr>
            </w:pPr>
            <w:r>
              <w:rPr>
                <w:rFonts w:hint="eastAsia" w:ascii="宋体" w:hAnsi="宋体" w:cs="宋体"/>
                <w:bCs/>
                <w:iCs/>
                <w:color w:val="000000"/>
                <w:sz w:val="24"/>
                <w:szCs w:val="24"/>
              </w:rPr>
              <w:t>附件清单</w:t>
            </w:r>
          </w:p>
        </w:tc>
        <w:tc>
          <w:tcPr>
            <w:tcW w:w="6614" w:type="dxa"/>
            <w:tcBorders>
              <w:tl2br w:val="nil"/>
              <w:tr2bl w:val="nil"/>
            </w:tcBorders>
            <w:vAlign w:val="center"/>
          </w:tcPr>
          <w:p w14:paraId="4189203D">
            <w:pPr>
              <w:spacing w:line="360" w:lineRule="auto"/>
              <w:rPr>
                <w:rFonts w:hint="eastAsia" w:ascii="宋体" w:hAnsi="宋体" w:cs="宋体"/>
                <w:bCs/>
                <w:iCs/>
                <w:color w:val="000000"/>
                <w:sz w:val="24"/>
                <w:szCs w:val="24"/>
              </w:rPr>
            </w:pPr>
          </w:p>
          <w:p w14:paraId="18C38B89">
            <w:pPr>
              <w:spacing w:line="360" w:lineRule="auto"/>
              <w:rPr>
                <w:rFonts w:hint="eastAsia" w:ascii="宋体" w:hAnsi="宋体" w:cs="宋体"/>
                <w:bCs/>
                <w:iCs/>
                <w:color w:val="000000"/>
                <w:sz w:val="24"/>
                <w:szCs w:val="24"/>
              </w:rPr>
            </w:pPr>
            <w:r>
              <w:rPr>
                <w:rFonts w:hint="eastAsia" w:ascii="宋体" w:hAnsi="宋体" w:cs="宋体"/>
                <w:bCs/>
                <w:iCs/>
                <w:color w:val="000000"/>
                <w:sz w:val="24"/>
                <w:szCs w:val="24"/>
              </w:rPr>
              <w:t>无</w:t>
            </w:r>
          </w:p>
          <w:p w14:paraId="5C193D32">
            <w:pPr>
              <w:spacing w:line="360" w:lineRule="auto"/>
              <w:rPr>
                <w:rFonts w:hint="eastAsia" w:ascii="宋体" w:hAnsi="宋体" w:cs="宋体"/>
                <w:bCs/>
                <w:iCs/>
                <w:color w:val="000000"/>
                <w:sz w:val="24"/>
                <w:szCs w:val="24"/>
              </w:rPr>
            </w:pPr>
          </w:p>
        </w:tc>
      </w:tr>
      <w:tr w14:paraId="18D3300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1908" w:type="dxa"/>
            <w:tcBorders>
              <w:tl2br w:val="nil"/>
              <w:tr2bl w:val="nil"/>
            </w:tcBorders>
            <w:vAlign w:val="center"/>
          </w:tcPr>
          <w:p w14:paraId="3DE0727A">
            <w:pPr>
              <w:spacing w:line="360" w:lineRule="auto"/>
              <w:jc w:val="center"/>
              <w:rPr>
                <w:rFonts w:hint="eastAsia" w:ascii="宋体" w:hAnsi="宋体" w:cs="宋体"/>
                <w:bCs/>
                <w:iCs/>
                <w:color w:val="000000"/>
                <w:sz w:val="24"/>
                <w:szCs w:val="24"/>
              </w:rPr>
            </w:pPr>
            <w:r>
              <w:rPr>
                <w:rFonts w:hint="eastAsia" w:ascii="宋体" w:hAnsi="宋体" w:cs="宋体"/>
                <w:bCs/>
                <w:iCs/>
                <w:color w:val="000000"/>
                <w:sz w:val="24"/>
                <w:szCs w:val="24"/>
              </w:rPr>
              <w:t>日期</w:t>
            </w:r>
          </w:p>
        </w:tc>
        <w:tc>
          <w:tcPr>
            <w:tcW w:w="6614" w:type="dxa"/>
            <w:tcBorders>
              <w:tl2br w:val="nil"/>
              <w:tr2bl w:val="nil"/>
            </w:tcBorders>
            <w:vAlign w:val="center"/>
          </w:tcPr>
          <w:p w14:paraId="204EE0A8">
            <w:pPr>
              <w:spacing w:line="360" w:lineRule="auto"/>
              <w:rPr>
                <w:rFonts w:hint="eastAsia" w:ascii="宋体" w:hAnsi="宋体" w:cs="宋体"/>
                <w:bCs/>
                <w:iCs/>
                <w:color w:val="000000"/>
                <w:sz w:val="24"/>
                <w:szCs w:val="24"/>
              </w:rPr>
            </w:pPr>
            <w:r>
              <w:rPr>
                <w:rFonts w:hint="eastAsia" w:ascii="宋体" w:hAnsi="宋体" w:cs="宋体"/>
                <w:bCs/>
                <w:iCs/>
                <w:color w:val="000000"/>
                <w:sz w:val="24"/>
                <w:szCs w:val="24"/>
              </w:rPr>
              <w:t>2026年9月24日</w:t>
            </w:r>
          </w:p>
        </w:tc>
      </w:tr>
    </w:tbl>
    <w:p w14:paraId="45E60CD2"/>
    <w:p w14:paraId="25DE9123"/>
    <w:p w14:paraId="6C0F7268"/>
    <w:p w14:paraId="0B7FE65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Helvetica">
    <w:altName w:val="Arial"/>
    <w:panose1 w:val="020B0604020202020204"/>
    <w:charset w:val="00"/>
    <w:family w:val="swiss"/>
    <w:pitch w:val="default"/>
    <w:sig w:usb0="00000000" w:usb1="00000000" w:usb2="00000009" w:usb3="00000000" w:csb0="000001FF" w:csb1="0000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3"/>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08388F"/>
    <w:rsid w:val="00211676"/>
    <w:rsid w:val="003B370B"/>
    <w:rsid w:val="004259D9"/>
    <w:rsid w:val="00583187"/>
    <w:rsid w:val="007A617F"/>
    <w:rsid w:val="009A70FC"/>
    <w:rsid w:val="00DC42B5"/>
    <w:rsid w:val="00DD52DA"/>
    <w:rsid w:val="00DE7DC0"/>
    <w:rsid w:val="0141379C"/>
    <w:rsid w:val="01572489"/>
    <w:rsid w:val="016A32AD"/>
    <w:rsid w:val="01C82FD9"/>
    <w:rsid w:val="022D0600"/>
    <w:rsid w:val="023A29C7"/>
    <w:rsid w:val="02586C7C"/>
    <w:rsid w:val="02F87D8C"/>
    <w:rsid w:val="030A7699"/>
    <w:rsid w:val="035B7317"/>
    <w:rsid w:val="03903984"/>
    <w:rsid w:val="03A80DD2"/>
    <w:rsid w:val="041F5177"/>
    <w:rsid w:val="04A537A1"/>
    <w:rsid w:val="04B2672F"/>
    <w:rsid w:val="04D628B2"/>
    <w:rsid w:val="04D6437B"/>
    <w:rsid w:val="0507192F"/>
    <w:rsid w:val="050E066D"/>
    <w:rsid w:val="05261870"/>
    <w:rsid w:val="053B226F"/>
    <w:rsid w:val="054602C9"/>
    <w:rsid w:val="0568413D"/>
    <w:rsid w:val="05C41070"/>
    <w:rsid w:val="06002C43"/>
    <w:rsid w:val="06446245"/>
    <w:rsid w:val="069D1736"/>
    <w:rsid w:val="07015C02"/>
    <w:rsid w:val="07B332B2"/>
    <w:rsid w:val="07C02163"/>
    <w:rsid w:val="07C070FA"/>
    <w:rsid w:val="07C738D1"/>
    <w:rsid w:val="08101412"/>
    <w:rsid w:val="08323719"/>
    <w:rsid w:val="08527448"/>
    <w:rsid w:val="087C2200"/>
    <w:rsid w:val="08815BE2"/>
    <w:rsid w:val="08A31447"/>
    <w:rsid w:val="08A323DD"/>
    <w:rsid w:val="08C70357"/>
    <w:rsid w:val="09142BB7"/>
    <w:rsid w:val="09835E20"/>
    <w:rsid w:val="09CA542C"/>
    <w:rsid w:val="09F84688"/>
    <w:rsid w:val="0A1052E7"/>
    <w:rsid w:val="0A290A0E"/>
    <w:rsid w:val="0A8C448D"/>
    <w:rsid w:val="0AAE5FBF"/>
    <w:rsid w:val="0AE628F6"/>
    <w:rsid w:val="0B2271F0"/>
    <w:rsid w:val="0B354D92"/>
    <w:rsid w:val="0C17723B"/>
    <w:rsid w:val="0C232239"/>
    <w:rsid w:val="0C264A9F"/>
    <w:rsid w:val="0C7638EA"/>
    <w:rsid w:val="0C8A067A"/>
    <w:rsid w:val="0CA172DB"/>
    <w:rsid w:val="0CE13C0E"/>
    <w:rsid w:val="0CEC79F0"/>
    <w:rsid w:val="0D1166B7"/>
    <w:rsid w:val="0D294946"/>
    <w:rsid w:val="0D346115"/>
    <w:rsid w:val="0D785E9A"/>
    <w:rsid w:val="0DA27E6B"/>
    <w:rsid w:val="0DA57BE9"/>
    <w:rsid w:val="0DAC0666"/>
    <w:rsid w:val="0DCB0C13"/>
    <w:rsid w:val="0DDF54A4"/>
    <w:rsid w:val="0E0777DA"/>
    <w:rsid w:val="0E1F3F09"/>
    <w:rsid w:val="0E2D6AAB"/>
    <w:rsid w:val="0E370198"/>
    <w:rsid w:val="0E5F5DD5"/>
    <w:rsid w:val="0E662065"/>
    <w:rsid w:val="0E762342"/>
    <w:rsid w:val="0E823D71"/>
    <w:rsid w:val="0ED50A9B"/>
    <w:rsid w:val="0EE64C56"/>
    <w:rsid w:val="0F164D87"/>
    <w:rsid w:val="0F1B03A7"/>
    <w:rsid w:val="0F274566"/>
    <w:rsid w:val="0F4E6D1C"/>
    <w:rsid w:val="0F6649EE"/>
    <w:rsid w:val="0FA20465"/>
    <w:rsid w:val="0FAD2359"/>
    <w:rsid w:val="0FE70750"/>
    <w:rsid w:val="0FEB08D9"/>
    <w:rsid w:val="0FFF2AE3"/>
    <w:rsid w:val="10205D77"/>
    <w:rsid w:val="106A3771"/>
    <w:rsid w:val="10BC128B"/>
    <w:rsid w:val="1165566D"/>
    <w:rsid w:val="117A0A25"/>
    <w:rsid w:val="1184546F"/>
    <w:rsid w:val="11907962"/>
    <w:rsid w:val="11EA448B"/>
    <w:rsid w:val="12065A22"/>
    <w:rsid w:val="124F746D"/>
    <w:rsid w:val="125C4427"/>
    <w:rsid w:val="126352F8"/>
    <w:rsid w:val="12FB6D38"/>
    <w:rsid w:val="13702473"/>
    <w:rsid w:val="13705D9B"/>
    <w:rsid w:val="13951D37"/>
    <w:rsid w:val="139C0FA5"/>
    <w:rsid w:val="13C01145"/>
    <w:rsid w:val="146C5B3A"/>
    <w:rsid w:val="14C447BC"/>
    <w:rsid w:val="14CC37B9"/>
    <w:rsid w:val="14CD3C5A"/>
    <w:rsid w:val="157A6306"/>
    <w:rsid w:val="15834682"/>
    <w:rsid w:val="15C37AEB"/>
    <w:rsid w:val="15C4221B"/>
    <w:rsid w:val="16054376"/>
    <w:rsid w:val="16795C6E"/>
    <w:rsid w:val="169631FF"/>
    <w:rsid w:val="16B160FF"/>
    <w:rsid w:val="16C73BE1"/>
    <w:rsid w:val="16F914E3"/>
    <w:rsid w:val="171A4CAF"/>
    <w:rsid w:val="17297A1F"/>
    <w:rsid w:val="178C31AD"/>
    <w:rsid w:val="18901440"/>
    <w:rsid w:val="189D14D9"/>
    <w:rsid w:val="18C075F4"/>
    <w:rsid w:val="18ED3755"/>
    <w:rsid w:val="193E5A6E"/>
    <w:rsid w:val="19537669"/>
    <w:rsid w:val="1960677D"/>
    <w:rsid w:val="1984458E"/>
    <w:rsid w:val="198F074E"/>
    <w:rsid w:val="19DE4BD8"/>
    <w:rsid w:val="1A156D76"/>
    <w:rsid w:val="1A4F3845"/>
    <w:rsid w:val="1A6B3007"/>
    <w:rsid w:val="1A8D2258"/>
    <w:rsid w:val="1AAD4BDA"/>
    <w:rsid w:val="1AB53871"/>
    <w:rsid w:val="1AB80D95"/>
    <w:rsid w:val="1AB944B2"/>
    <w:rsid w:val="1AF00CE9"/>
    <w:rsid w:val="1B3E79EE"/>
    <w:rsid w:val="1B46606D"/>
    <w:rsid w:val="1BB35FF5"/>
    <w:rsid w:val="1BCE3F50"/>
    <w:rsid w:val="1C0549E3"/>
    <w:rsid w:val="1C49131C"/>
    <w:rsid w:val="1C865287"/>
    <w:rsid w:val="1CD9194C"/>
    <w:rsid w:val="1CDC6B86"/>
    <w:rsid w:val="1CE60476"/>
    <w:rsid w:val="1D2357B3"/>
    <w:rsid w:val="1D8978EE"/>
    <w:rsid w:val="1DA0254C"/>
    <w:rsid w:val="1DB21299"/>
    <w:rsid w:val="1DE8152C"/>
    <w:rsid w:val="1E3D43B5"/>
    <w:rsid w:val="1E646784"/>
    <w:rsid w:val="1E844E24"/>
    <w:rsid w:val="1ED9068B"/>
    <w:rsid w:val="1EDD2B2F"/>
    <w:rsid w:val="1EFA59D3"/>
    <w:rsid w:val="1F037C33"/>
    <w:rsid w:val="1F2C561A"/>
    <w:rsid w:val="1F327819"/>
    <w:rsid w:val="1F8A1B98"/>
    <w:rsid w:val="1FA26897"/>
    <w:rsid w:val="1FAE0808"/>
    <w:rsid w:val="1FB14836"/>
    <w:rsid w:val="1FBA06F9"/>
    <w:rsid w:val="1FC0452C"/>
    <w:rsid w:val="1FC3112A"/>
    <w:rsid w:val="1FDC7965"/>
    <w:rsid w:val="202B5C03"/>
    <w:rsid w:val="204443F3"/>
    <w:rsid w:val="20E54640"/>
    <w:rsid w:val="21000E6D"/>
    <w:rsid w:val="211273F8"/>
    <w:rsid w:val="211A063F"/>
    <w:rsid w:val="211C7352"/>
    <w:rsid w:val="2123688F"/>
    <w:rsid w:val="21255B34"/>
    <w:rsid w:val="216311D2"/>
    <w:rsid w:val="2175526C"/>
    <w:rsid w:val="21903297"/>
    <w:rsid w:val="21957EA3"/>
    <w:rsid w:val="21AE6EAD"/>
    <w:rsid w:val="220636C9"/>
    <w:rsid w:val="22114E93"/>
    <w:rsid w:val="2269434D"/>
    <w:rsid w:val="22A6579B"/>
    <w:rsid w:val="22B24B09"/>
    <w:rsid w:val="22BF68FE"/>
    <w:rsid w:val="22DE6F41"/>
    <w:rsid w:val="23554C18"/>
    <w:rsid w:val="23570AAD"/>
    <w:rsid w:val="237C058E"/>
    <w:rsid w:val="23CC0F44"/>
    <w:rsid w:val="245F2BBD"/>
    <w:rsid w:val="246410D1"/>
    <w:rsid w:val="248F6759"/>
    <w:rsid w:val="24BC2C2D"/>
    <w:rsid w:val="24E345A6"/>
    <w:rsid w:val="24FD081C"/>
    <w:rsid w:val="252042DC"/>
    <w:rsid w:val="25452C1C"/>
    <w:rsid w:val="254775BE"/>
    <w:rsid w:val="257F2EC0"/>
    <w:rsid w:val="258A5E35"/>
    <w:rsid w:val="25980D9D"/>
    <w:rsid w:val="25C47909"/>
    <w:rsid w:val="25C53E6A"/>
    <w:rsid w:val="25D86CE3"/>
    <w:rsid w:val="261C37E8"/>
    <w:rsid w:val="262B67EB"/>
    <w:rsid w:val="26917C27"/>
    <w:rsid w:val="269F0287"/>
    <w:rsid w:val="26A619B9"/>
    <w:rsid w:val="26FF282D"/>
    <w:rsid w:val="270B23FC"/>
    <w:rsid w:val="271538F5"/>
    <w:rsid w:val="276C16D8"/>
    <w:rsid w:val="28031DFF"/>
    <w:rsid w:val="28115FDA"/>
    <w:rsid w:val="281F4513"/>
    <w:rsid w:val="28850DAF"/>
    <w:rsid w:val="28A17150"/>
    <w:rsid w:val="28B223C0"/>
    <w:rsid w:val="291200C2"/>
    <w:rsid w:val="29162D05"/>
    <w:rsid w:val="29234BFB"/>
    <w:rsid w:val="2941107C"/>
    <w:rsid w:val="296868BE"/>
    <w:rsid w:val="29776318"/>
    <w:rsid w:val="29A635ED"/>
    <w:rsid w:val="2A224EE4"/>
    <w:rsid w:val="2A230646"/>
    <w:rsid w:val="2A386443"/>
    <w:rsid w:val="2A7D4B2F"/>
    <w:rsid w:val="2A8049CB"/>
    <w:rsid w:val="2B8607B3"/>
    <w:rsid w:val="2BAA3C26"/>
    <w:rsid w:val="2BB4034F"/>
    <w:rsid w:val="2BE44EE0"/>
    <w:rsid w:val="2BEA2A59"/>
    <w:rsid w:val="2C117E05"/>
    <w:rsid w:val="2C2840D7"/>
    <w:rsid w:val="2C2E5D31"/>
    <w:rsid w:val="2C3F6133"/>
    <w:rsid w:val="2CDC59BC"/>
    <w:rsid w:val="2CE94D6E"/>
    <w:rsid w:val="2D582B09"/>
    <w:rsid w:val="2DC02CAD"/>
    <w:rsid w:val="2DD031BD"/>
    <w:rsid w:val="2DEF2D85"/>
    <w:rsid w:val="2E0F1F96"/>
    <w:rsid w:val="2E2F610B"/>
    <w:rsid w:val="2E5A78F7"/>
    <w:rsid w:val="2E664E6A"/>
    <w:rsid w:val="2E681A02"/>
    <w:rsid w:val="2E7A29FB"/>
    <w:rsid w:val="2EBE3B65"/>
    <w:rsid w:val="2EC24FF2"/>
    <w:rsid w:val="2F1D3DA3"/>
    <w:rsid w:val="2F7B201C"/>
    <w:rsid w:val="2F913F62"/>
    <w:rsid w:val="2FA12DA3"/>
    <w:rsid w:val="2FFC0189"/>
    <w:rsid w:val="2FFF126D"/>
    <w:rsid w:val="307205E0"/>
    <w:rsid w:val="30B33792"/>
    <w:rsid w:val="30CE0BB9"/>
    <w:rsid w:val="30FC365B"/>
    <w:rsid w:val="310D18DE"/>
    <w:rsid w:val="31911A3C"/>
    <w:rsid w:val="31924B3E"/>
    <w:rsid w:val="31A3275F"/>
    <w:rsid w:val="328350C5"/>
    <w:rsid w:val="32A6059B"/>
    <w:rsid w:val="32BF5675"/>
    <w:rsid w:val="32C77198"/>
    <w:rsid w:val="32C81C4A"/>
    <w:rsid w:val="333113F6"/>
    <w:rsid w:val="33B45CDD"/>
    <w:rsid w:val="33E70751"/>
    <w:rsid w:val="33F279C9"/>
    <w:rsid w:val="342A1781"/>
    <w:rsid w:val="34381F14"/>
    <w:rsid w:val="343C1EDD"/>
    <w:rsid w:val="345074CF"/>
    <w:rsid w:val="346B298C"/>
    <w:rsid w:val="34742980"/>
    <w:rsid w:val="34755ECE"/>
    <w:rsid w:val="349F6939"/>
    <w:rsid w:val="34C62616"/>
    <w:rsid w:val="34C949D6"/>
    <w:rsid w:val="34F755A7"/>
    <w:rsid w:val="35293B03"/>
    <w:rsid w:val="35686795"/>
    <w:rsid w:val="35A16FBE"/>
    <w:rsid w:val="35BA6398"/>
    <w:rsid w:val="35EC5C63"/>
    <w:rsid w:val="35FC6CF2"/>
    <w:rsid w:val="36044911"/>
    <w:rsid w:val="360F38AB"/>
    <w:rsid w:val="361D381C"/>
    <w:rsid w:val="36460527"/>
    <w:rsid w:val="365D3198"/>
    <w:rsid w:val="36E93054"/>
    <w:rsid w:val="36FB083B"/>
    <w:rsid w:val="373D5744"/>
    <w:rsid w:val="37866EED"/>
    <w:rsid w:val="37961EAE"/>
    <w:rsid w:val="37C1464E"/>
    <w:rsid w:val="37C32DC7"/>
    <w:rsid w:val="37E94968"/>
    <w:rsid w:val="38311CF4"/>
    <w:rsid w:val="38BF09E7"/>
    <w:rsid w:val="396C5440"/>
    <w:rsid w:val="39DC1A88"/>
    <w:rsid w:val="3A2C52F8"/>
    <w:rsid w:val="3A5030C3"/>
    <w:rsid w:val="3A70647C"/>
    <w:rsid w:val="3A870364"/>
    <w:rsid w:val="3AA35FBF"/>
    <w:rsid w:val="3AB16F8B"/>
    <w:rsid w:val="3B042C62"/>
    <w:rsid w:val="3B361828"/>
    <w:rsid w:val="3B5B6185"/>
    <w:rsid w:val="3B681C4A"/>
    <w:rsid w:val="3BEE6465"/>
    <w:rsid w:val="3C001B69"/>
    <w:rsid w:val="3C07392E"/>
    <w:rsid w:val="3C2506B9"/>
    <w:rsid w:val="3C272C52"/>
    <w:rsid w:val="3C3A0C5F"/>
    <w:rsid w:val="3C481117"/>
    <w:rsid w:val="3CC5243A"/>
    <w:rsid w:val="3D2727D3"/>
    <w:rsid w:val="3D3C6251"/>
    <w:rsid w:val="3D513942"/>
    <w:rsid w:val="3D5620B0"/>
    <w:rsid w:val="3D5D1DBB"/>
    <w:rsid w:val="3DAB340E"/>
    <w:rsid w:val="3DDD580C"/>
    <w:rsid w:val="3DE73CFA"/>
    <w:rsid w:val="3DFB38C5"/>
    <w:rsid w:val="3E0E3D7B"/>
    <w:rsid w:val="3E4411C0"/>
    <w:rsid w:val="3E606345"/>
    <w:rsid w:val="3EE1226B"/>
    <w:rsid w:val="3F171849"/>
    <w:rsid w:val="3FA73CEA"/>
    <w:rsid w:val="3FD7407A"/>
    <w:rsid w:val="3FE252B0"/>
    <w:rsid w:val="40082355"/>
    <w:rsid w:val="408D1D04"/>
    <w:rsid w:val="40BA4DB0"/>
    <w:rsid w:val="40F01A89"/>
    <w:rsid w:val="4102262C"/>
    <w:rsid w:val="41210059"/>
    <w:rsid w:val="41233BF4"/>
    <w:rsid w:val="41333015"/>
    <w:rsid w:val="414B6170"/>
    <w:rsid w:val="415D3356"/>
    <w:rsid w:val="421B4903"/>
    <w:rsid w:val="42240F53"/>
    <w:rsid w:val="422C5BC1"/>
    <w:rsid w:val="42BD2E0C"/>
    <w:rsid w:val="42BD600F"/>
    <w:rsid w:val="42E113E1"/>
    <w:rsid w:val="43443B2C"/>
    <w:rsid w:val="43E0231C"/>
    <w:rsid w:val="44137693"/>
    <w:rsid w:val="444628B0"/>
    <w:rsid w:val="4460071A"/>
    <w:rsid w:val="44757F5F"/>
    <w:rsid w:val="44784B34"/>
    <w:rsid w:val="449E3609"/>
    <w:rsid w:val="44AC36B7"/>
    <w:rsid w:val="44CB18BA"/>
    <w:rsid w:val="44D00711"/>
    <w:rsid w:val="4567666F"/>
    <w:rsid w:val="45924ADD"/>
    <w:rsid w:val="45AA6F8C"/>
    <w:rsid w:val="45B33134"/>
    <w:rsid w:val="45CB4C8D"/>
    <w:rsid w:val="45D113B7"/>
    <w:rsid w:val="45D77D8A"/>
    <w:rsid w:val="460629AA"/>
    <w:rsid w:val="4612230A"/>
    <w:rsid w:val="46216684"/>
    <w:rsid w:val="46372960"/>
    <w:rsid w:val="465D526B"/>
    <w:rsid w:val="4660129D"/>
    <w:rsid w:val="46771545"/>
    <w:rsid w:val="46A203DB"/>
    <w:rsid w:val="46C42758"/>
    <w:rsid w:val="477E6C71"/>
    <w:rsid w:val="47A8084F"/>
    <w:rsid w:val="484E1C74"/>
    <w:rsid w:val="490001DE"/>
    <w:rsid w:val="490A0B27"/>
    <w:rsid w:val="490C7E10"/>
    <w:rsid w:val="4915114B"/>
    <w:rsid w:val="4948694C"/>
    <w:rsid w:val="49501E9D"/>
    <w:rsid w:val="49A6329F"/>
    <w:rsid w:val="49F207B6"/>
    <w:rsid w:val="4A4E4F5F"/>
    <w:rsid w:val="4A69245B"/>
    <w:rsid w:val="4A6F47C1"/>
    <w:rsid w:val="4B190AF9"/>
    <w:rsid w:val="4B295164"/>
    <w:rsid w:val="4B336E94"/>
    <w:rsid w:val="4B6105C8"/>
    <w:rsid w:val="4B7F37F6"/>
    <w:rsid w:val="4B821212"/>
    <w:rsid w:val="4BC70BEB"/>
    <w:rsid w:val="4BEC6A57"/>
    <w:rsid w:val="4BF27B5B"/>
    <w:rsid w:val="4BFF20AD"/>
    <w:rsid w:val="4C0454A6"/>
    <w:rsid w:val="4C354DB6"/>
    <w:rsid w:val="4C4F1CB2"/>
    <w:rsid w:val="4C8466F6"/>
    <w:rsid w:val="4CCE23FC"/>
    <w:rsid w:val="4D035A83"/>
    <w:rsid w:val="4D121DB1"/>
    <w:rsid w:val="4D5B3147"/>
    <w:rsid w:val="4D6755D3"/>
    <w:rsid w:val="4D704701"/>
    <w:rsid w:val="4D77470D"/>
    <w:rsid w:val="4DAC647D"/>
    <w:rsid w:val="4DE27E31"/>
    <w:rsid w:val="4DF00676"/>
    <w:rsid w:val="4DF3063F"/>
    <w:rsid w:val="4E0C117B"/>
    <w:rsid w:val="4E1867D4"/>
    <w:rsid w:val="4E2059FC"/>
    <w:rsid w:val="4EA00FFB"/>
    <w:rsid w:val="4EE42A91"/>
    <w:rsid w:val="4FC006BD"/>
    <w:rsid w:val="4FF23AA6"/>
    <w:rsid w:val="4FF9663D"/>
    <w:rsid w:val="5034399D"/>
    <w:rsid w:val="507F3634"/>
    <w:rsid w:val="50B21D2E"/>
    <w:rsid w:val="50C6555A"/>
    <w:rsid w:val="50F70163"/>
    <w:rsid w:val="511928E2"/>
    <w:rsid w:val="511A40A2"/>
    <w:rsid w:val="512B743D"/>
    <w:rsid w:val="515C5AD4"/>
    <w:rsid w:val="518130D0"/>
    <w:rsid w:val="518A2201"/>
    <w:rsid w:val="5197079B"/>
    <w:rsid w:val="522F746E"/>
    <w:rsid w:val="52366A34"/>
    <w:rsid w:val="526F4C0A"/>
    <w:rsid w:val="527279F5"/>
    <w:rsid w:val="52A96F5C"/>
    <w:rsid w:val="52CE43C6"/>
    <w:rsid w:val="52FE49D3"/>
    <w:rsid w:val="53000DF9"/>
    <w:rsid w:val="530E7992"/>
    <w:rsid w:val="530F07D3"/>
    <w:rsid w:val="53426B66"/>
    <w:rsid w:val="534E439B"/>
    <w:rsid w:val="53666599"/>
    <w:rsid w:val="53881951"/>
    <w:rsid w:val="53B35CD5"/>
    <w:rsid w:val="53E27BB3"/>
    <w:rsid w:val="53E84F3D"/>
    <w:rsid w:val="540E4221"/>
    <w:rsid w:val="541170FC"/>
    <w:rsid w:val="54A05D37"/>
    <w:rsid w:val="54E9488F"/>
    <w:rsid w:val="556541E4"/>
    <w:rsid w:val="55773FD0"/>
    <w:rsid w:val="55C96210"/>
    <w:rsid w:val="55DA0800"/>
    <w:rsid w:val="55F443EF"/>
    <w:rsid w:val="562B3C05"/>
    <w:rsid w:val="56382C32"/>
    <w:rsid w:val="565356DB"/>
    <w:rsid w:val="56781A69"/>
    <w:rsid w:val="568F6683"/>
    <w:rsid w:val="56BC3A85"/>
    <w:rsid w:val="56FE4E21"/>
    <w:rsid w:val="5768615C"/>
    <w:rsid w:val="57A62F9C"/>
    <w:rsid w:val="57E77C3F"/>
    <w:rsid w:val="57FA2C0B"/>
    <w:rsid w:val="57FE2CEB"/>
    <w:rsid w:val="5813623D"/>
    <w:rsid w:val="583344D4"/>
    <w:rsid w:val="584F7F8B"/>
    <w:rsid w:val="58AF26A8"/>
    <w:rsid w:val="59114FB0"/>
    <w:rsid w:val="59121E45"/>
    <w:rsid w:val="593531E0"/>
    <w:rsid w:val="594B5EFB"/>
    <w:rsid w:val="59830755"/>
    <w:rsid w:val="5991434E"/>
    <w:rsid w:val="59C74E4D"/>
    <w:rsid w:val="59CC68C1"/>
    <w:rsid w:val="59E67300"/>
    <w:rsid w:val="5A1C6E3B"/>
    <w:rsid w:val="5A433B50"/>
    <w:rsid w:val="5A6F5096"/>
    <w:rsid w:val="5A7C5AB7"/>
    <w:rsid w:val="5AA72BA5"/>
    <w:rsid w:val="5AC24977"/>
    <w:rsid w:val="5B1B49AC"/>
    <w:rsid w:val="5B291FA4"/>
    <w:rsid w:val="5B7225FC"/>
    <w:rsid w:val="5BC002A7"/>
    <w:rsid w:val="5BC30EFB"/>
    <w:rsid w:val="5C5E7BDF"/>
    <w:rsid w:val="5CFC527F"/>
    <w:rsid w:val="5D222A7F"/>
    <w:rsid w:val="5D416030"/>
    <w:rsid w:val="5D64635D"/>
    <w:rsid w:val="5D83648B"/>
    <w:rsid w:val="5DA40DA0"/>
    <w:rsid w:val="5DE73755"/>
    <w:rsid w:val="5DEE66A3"/>
    <w:rsid w:val="5E4E4EC8"/>
    <w:rsid w:val="5E667870"/>
    <w:rsid w:val="5E7D6E0F"/>
    <w:rsid w:val="5E926239"/>
    <w:rsid w:val="5EA50009"/>
    <w:rsid w:val="5EC732C5"/>
    <w:rsid w:val="5ED449A6"/>
    <w:rsid w:val="5F1C7419"/>
    <w:rsid w:val="5F1D6948"/>
    <w:rsid w:val="5F503301"/>
    <w:rsid w:val="5F6C30A0"/>
    <w:rsid w:val="5FD52163"/>
    <w:rsid w:val="5FE7710F"/>
    <w:rsid w:val="602B3B36"/>
    <w:rsid w:val="606622D9"/>
    <w:rsid w:val="606C4ADD"/>
    <w:rsid w:val="60874142"/>
    <w:rsid w:val="60B573EC"/>
    <w:rsid w:val="60C761C3"/>
    <w:rsid w:val="60CC33B4"/>
    <w:rsid w:val="61816F34"/>
    <w:rsid w:val="620F445F"/>
    <w:rsid w:val="62385432"/>
    <w:rsid w:val="625934FA"/>
    <w:rsid w:val="628A7A06"/>
    <w:rsid w:val="62B07E29"/>
    <w:rsid w:val="62BD563F"/>
    <w:rsid w:val="62C40239"/>
    <w:rsid w:val="62CD6632"/>
    <w:rsid w:val="63012B5A"/>
    <w:rsid w:val="630B6BBF"/>
    <w:rsid w:val="63395122"/>
    <w:rsid w:val="63977B5C"/>
    <w:rsid w:val="63AA1991"/>
    <w:rsid w:val="63C250AF"/>
    <w:rsid w:val="63FF151B"/>
    <w:rsid w:val="640E12D6"/>
    <w:rsid w:val="644B7646"/>
    <w:rsid w:val="644F7188"/>
    <w:rsid w:val="652E57A8"/>
    <w:rsid w:val="653C6651"/>
    <w:rsid w:val="653D0D6E"/>
    <w:rsid w:val="65CF4C8B"/>
    <w:rsid w:val="65E27990"/>
    <w:rsid w:val="6608388F"/>
    <w:rsid w:val="660D5DFB"/>
    <w:rsid w:val="668B088F"/>
    <w:rsid w:val="668D5B37"/>
    <w:rsid w:val="6697608F"/>
    <w:rsid w:val="66AD2443"/>
    <w:rsid w:val="67100319"/>
    <w:rsid w:val="679D7C32"/>
    <w:rsid w:val="6867092D"/>
    <w:rsid w:val="687057B8"/>
    <w:rsid w:val="687F0E2B"/>
    <w:rsid w:val="688D44A4"/>
    <w:rsid w:val="68A27518"/>
    <w:rsid w:val="68D8726A"/>
    <w:rsid w:val="691C2ED9"/>
    <w:rsid w:val="692C576A"/>
    <w:rsid w:val="69377594"/>
    <w:rsid w:val="6970393A"/>
    <w:rsid w:val="69B3797F"/>
    <w:rsid w:val="69C7507B"/>
    <w:rsid w:val="6A1B2A1D"/>
    <w:rsid w:val="6A2C09A8"/>
    <w:rsid w:val="6A3B5EEB"/>
    <w:rsid w:val="6A570E0A"/>
    <w:rsid w:val="6A9D1F4E"/>
    <w:rsid w:val="6AC731CC"/>
    <w:rsid w:val="6B5A6BD9"/>
    <w:rsid w:val="6B74601E"/>
    <w:rsid w:val="6BBF44D0"/>
    <w:rsid w:val="6BDE1212"/>
    <w:rsid w:val="6BE21213"/>
    <w:rsid w:val="6BFC6414"/>
    <w:rsid w:val="6C0137AE"/>
    <w:rsid w:val="6C0656FA"/>
    <w:rsid w:val="6C542DC7"/>
    <w:rsid w:val="6C872F1C"/>
    <w:rsid w:val="6CD26866"/>
    <w:rsid w:val="6D0853B2"/>
    <w:rsid w:val="6D0D4094"/>
    <w:rsid w:val="6D1779A2"/>
    <w:rsid w:val="6D1A7A97"/>
    <w:rsid w:val="6E017A83"/>
    <w:rsid w:val="6E064EDC"/>
    <w:rsid w:val="6E1C4834"/>
    <w:rsid w:val="6E611AA6"/>
    <w:rsid w:val="6E6209F8"/>
    <w:rsid w:val="6E743DD0"/>
    <w:rsid w:val="6E917A19"/>
    <w:rsid w:val="6EB4620F"/>
    <w:rsid w:val="6EEC07E9"/>
    <w:rsid w:val="6F0C2846"/>
    <w:rsid w:val="6F236C0E"/>
    <w:rsid w:val="6F282E41"/>
    <w:rsid w:val="6F293FDD"/>
    <w:rsid w:val="6F300141"/>
    <w:rsid w:val="6F3709BE"/>
    <w:rsid w:val="700437BA"/>
    <w:rsid w:val="70342DC3"/>
    <w:rsid w:val="704B1BDA"/>
    <w:rsid w:val="706E7503"/>
    <w:rsid w:val="70D751DD"/>
    <w:rsid w:val="7103470A"/>
    <w:rsid w:val="71324A89"/>
    <w:rsid w:val="715949AF"/>
    <w:rsid w:val="717A5E6A"/>
    <w:rsid w:val="717B20A9"/>
    <w:rsid w:val="71943B66"/>
    <w:rsid w:val="71A74D85"/>
    <w:rsid w:val="71B00243"/>
    <w:rsid w:val="71BD0464"/>
    <w:rsid w:val="71C67E17"/>
    <w:rsid w:val="722E1C16"/>
    <w:rsid w:val="723B1F15"/>
    <w:rsid w:val="725E3468"/>
    <w:rsid w:val="7262358D"/>
    <w:rsid w:val="72867AFA"/>
    <w:rsid w:val="729668E7"/>
    <w:rsid w:val="72CA4070"/>
    <w:rsid w:val="733A763D"/>
    <w:rsid w:val="734E03CA"/>
    <w:rsid w:val="736B7EE9"/>
    <w:rsid w:val="737C756A"/>
    <w:rsid w:val="737F03EA"/>
    <w:rsid w:val="73997AD0"/>
    <w:rsid w:val="742E3FAD"/>
    <w:rsid w:val="74DC09BE"/>
    <w:rsid w:val="74FA375A"/>
    <w:rsid w:val="754157AC"/>
    <w:rsid w:val="7557032F"/>
    <w:rsid w:val="75763C2B"/>
    <w:rsid w:val="757E637B"/>
    <w:rsid w:val="75AB184E"/>
    <w:rsid w:val="75D57876"/>
    <w:rsid w:val="75E4492E"/>
    <w:rsid w:val="75EF163B"/>
    <w:rsid w:val="76555826"/>
    <w:rsid w:val="767E4BB9"/>
    <w:rsid w:val="76A4267D"/>
    <w:rsid w:val="76AF5B4C"/>
    <w:rsid w:val="76BA0529"/>
    <w:rsid w:val="76C15D74"/>
    <w:rsid w:val="76D81AED"/>
    <w:rsid w:val="76FB61DD"/>
    <w:rsid w:val="7735543C"/>
    <w:rsid w:val="77363722"/>
    <w:rsid w:val="77774A77"/>
    <w:rsid w:val="77AC4801"/>
    <w:rsid w:val="77BA3253"/>
    <w:rsid w:val="77FF79B9"/>
    <w:rsid w:val="78363C4B"/>
    <w:rsid w:val="78543BF9"/>
    <w:rsid w:val="78C700BE"/>
    <w:rsid w:val="78D131BA"/>
    <w:rsid w:val="78E00D85"/>
    <w:rsid w:val="78EE5ACD"/>
    <w:rsid w:val="78F07A68"/>
    <w:rsid w:val="791A5957"/>
    <w:rsid w:val="79A63214"/>
    <w:rsid w:val="79CF0002"/>
    <w:rsid w:val="79E87B5C"/>
    <w:rsid w:val="79EA5423"/>
    <w:rsid w:val="79EE7D06"/>
    <w:rsid w:val="7A30262C"/>
    <w:rsid w:val="7A3130C5"/>
    <w:rsid w:val="7A5E5C19"/>
    <w:rsid w:val="7A641C1B"/>
    <w:rsid w:val="7A872CBC"/>
    <w:rsid w:val="7B396FCE"/>
    <w:rsid w:val="7B581A5D"/>
    <w:rsid w:val="7B954706"/>
    <w:rsid w:val="7C074569"/>
    <w:rsid w:val="7C400C3F"/>
    <w:rsid w:val="7C4C26BA"/>
    <w:rsid w:val="7C715457"/>
    <w:rsid w:val="7CA04FC7"/>
    <w:rsid w:val="7CAB26BF"/>
    <w:rsid w:val="7D293BA6"/>
    <w:rsid w:val="7D2B221F"/>
    <w:rsid w:val="7D2E75B6"/>
    <w:rsid w:val="7D30238A"/>
    <w:rsid w:val="7D5712FC"/>
    <w:rsid w:val="7D6A7BD7"/>
    <w:rsid w:val="7D700F27"/>
    <w:rsid w:val="7D861BD2"/>
    <w:rsid w:val="7E3846F3"/>
    <w:rsid w:val="7E397BE0"/>
    <w:rsid w:val="7E4F4004"/>
    <w:rsid w:val="7E595FB3"/>
    <w:rsid w:val="7E5C48DD"/>
    <w:rsid w:val="7E7D6486"/>
    <w:rsid w:val="7EB71A9C"/>
    <w:rsid w:val="7F1F47D4"/>
    <w:rsid w:val="7F2963BE"/>
    <w:rsid w:val="7F2B04E3"/>
    <w:rsid w:val="7F844D0E"/>
    <w:rsid w:val="7F9115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3"/>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4"/>
    <w:qFormat/>
    <w:uiPriority w:val="0"/>
    <w:rPr>
      <w:b/>
      <w:bCs/>
    </w:rPr>
  </w:style>
  <w:style w:type="character" w:styleId="9">
    <w:name w:val="annotation reference"/>
    <w:basedOn w:val="8"/>
    <w:qFormat/>
    <w:uiPriority w:val="0"/>
    <w:rPr>
      <w:sz w:val="21"/>
      <w:szCs w:val="21"/>
    </w:rPr>
  </w:style>
  <w:style w:type="paragraph" w:customStyle="1" w:styleId="10">
    <w:name w:val="Table Paragraph"/>
    <w:basedOn w:val="1"/>
    <w:qFormat/>
    <w:uiPriority w:val="1"/>
  </w:style>
  <w:style w:type="character" w:customStyle="1" w:styleId="11">
    <w:name w:val="页眉 字符"/>
    <w:basedOn w:val="8"/>
    <w:link w:val="5"/>
    <w:qFormat/>
    <w:uiPriority w:val="0"/>
    <w:rPr>
      <w:rFonts w:ascii="Calibri" w:hAnsi="Calibri" w:eastAsia="宋体" w:cs="Times New Roman"/>
      <w:kern w:val="2"/>
      <w:sz w:val="18"/>
      <w:szCs w:val="18"/>
    </w:rPr>
  </w:style>
  <w:style w:type="character" w:customStyle="1" w:styleId="12">
    <w:name w:val="页脚 字符"/>
    <w:basedOn w:val="8"/>
    <w:link w:val="4"/>
    <w:qFormat/>
    <w:uiPriority w:val="0"/>
    <w:rPr>
      <w:rFonts w:ascii="Calibri" w:hAnsi="Calibri" w:eastAsia="宋体" w:cs="Times New Roman"/>
      <w:kern w:val="2"/>
      <w:sz w:val="18"/>
      <w:szCs w:val="18"/>
    </w:rPr>
  </w:style>
  <w:style w:type="character" w:customStyle="1" w:styleId="13">
    <w:name w:val="批注文字 字符"/>
    <w:basedOn w:val="8"/>
    <w:link w:val="2"/>
    <w:qFormat/>
    <w:uiPriority w:val="0"/>
    <w:rPr>
      <w:rFonts w:ascii="Calibri" w:hAnsi="Calibri" w:eastAsia="宋体" w:cs="Times New Roman"/>
      <w:kern w:val="2"/>
      <w:sz w:val="21"/>
      <w:szCs w:val="22"/>
    </w:rPr>
  </w:style>
  <w:style w:type="character" w:customStyle="1" w:styleId="14">
    <w:name w:val="批注主题 字符"/>
    <w:basedOn w:val="13"/>
    <w:link w:val="6"/>
    <w:qFormat/>
    <w:uiPriority w:val="0"/>
    <w:rPr>
      <w:rFonts w:ascii="Calibri" w:hAnsi="Calibri" w:eastAsia="宋体" w:cs="Times New Roman"/>
      <w:b/>
      <w:bCs/>
      <w:kern w:val="2"/>
      <w:sz w:val="21"/>
      <w:szCs w:val="22"/>
    </w:rPr>
  </w:style>
  <w:style w:type="character" w:customStyle="1" w:styleId="15">
    <w:name w:val="批注框文本 字符"/>
    <w:basedOn w:val="8"/>
    <w:link w:val="3"/>
    <w:qFormat/>
    <w:uiPriority w:val="0"/>
    <w:rPr>
      <w:rFonts w:ascii="Calibri" w:hAnsi="Calibri" w:eastAsia="宋体" w:cs="Times New Roman"/>
      <w:kern w:val="2"/>
      <w:sz w:val="18"/>
      <w:szCs w:val="18"/>
    </w:rPr>
  </w:style>
  <w:style w:type="paragraph" w:customStyle="1" w:styleId="16">
    <w:name w:val="Revision"/>
    <w:hidden/>
    <w:semiHidden/>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9d0eeb52-4ed8-4254-bea5-04a15110f4ff</errorID>
      <errorWord>动</errorWord>
      <group>L1_Word</group>
      <groupName>字词问题</groupName>
      <ability>L2_Typo</ability>
      <abilityName>字词错误</abilityName>
      <candidateList>
        <item>动了</item>
      </candidateList>
      <explain/>
      <paraID>764D066D</paraID>
      <start>454</start>
      <end>455</end>
      <status>unmodified</status>
      <modifiedWord/>
      <trackRevisions>false</trackRevisions>
    </reviewItem>
    <reviewItem>
      <errorID>a70a45d4-07d6-4db3-aaea-8fbc22ee41a7</errorID>
      <errorWord>签</errorWord>
      <group>L1_Word</group>
      <groupName>字词问题</groupName>
      <ability>L2_Typo</ability>
      <abilityName>字词错误</abilityName>
      <candidateList>
        <item>签订</item>
      </candidateList>
      <explain/>
      <paraID>18969A4C</paraID>
      <start>126</start>
      <end>127</end>
      <status>unmodified</status>
      <modifiedWord/>
      <trackRevisions>false</trackRevisions>
    </reviewItem>
    <reviewItem>
      <errorID>c1d95d5a-5590-439d-be63-52b1df2d89bf</errorID>
      <errorWord>十五五期间</errorWord>
      <group>L1_Political</group>
      <groupName>政治性问题</groupName>
      <ability>L2_Keyword</ability>
      <abilityName>固定表述</abilityName>
      <candidateList>
        <item>“十五五”期间</item>
      </candidateList>
      <explain>注意检查当前固定表述标点是否使用规范。</explain>
      <paraID> 8E7FD5D</paraID>
      <start>27</start>
      <end>34</end>
      <status>modified</status>
      <modifiedWord>“十五五”期间</modifiedWord>
      <trackRevisions>false</trackRevisions>
    </reviewItem>
    <reviewItem>
      <errorID>d65e706f-b779-4a5a-8c5a-55981c0134b1</errorID>
      <errorWord>专门新</errorWord>
      <group>L1_Word</group>
      <groupName>字词问题</groupName>
      <ability>L2_Typo</ability>
      <abilityName>字词错误</abilityName>
      <candidateList>
        <item>专门</item>
      </candidateList>
      <explain/>
      <paraID> 8E7FD5D</paraID>
      <start>219</start>
      <end>222</end>
      <status>unmodified</status>
      <modifiedWord/>
      <trackRevisions>false</trackRevisions>
    </reviewItem>
    <reviewItem>
      <errorID>bbd663e5-fbcc-4944-a0a0-09d012a43d6a</errorID>
      <errorWord>科技进步二等奖</errorWord>
      <group>L1_Political</group>
      <groupName>政治性问题</groupName>
      <ability>L2_Unpolitical</ability>
      <abilityName>政治敏感错误</abilityName>
      <candidateList>
        <item>科技进步奖二等奖</item>
      </candidateList>
      <explain/>
      <paraID> 305CD33</paraID>
      <start>181</start>
      <end>188</end>
      <status>unmodified</status>
      <modifiedWord/>
      <trackRevisions>false</trackRevisions>
    </reviewItem>
    <reviewItem>
      <errorID>e26dbf15-4ce0-40cc-a8b2-884099527eaa</errorID>
      <errorWord>高端化、绿色化、智能化</errorWord>
      <group>L1_Political</group>
      <groupName>政治性问题</groupName>
      <ability>L2_Keyword</ability>
      <abilityName>固定表述</abilityName>
      <candidateList>
        <item>高端化、智能化、绿色化</item>
      </candidateList>
      <explain>词汇“高端化、智能化、绿色化”在特定场景下为固定表述形式，请确认此处的“高端化、绿色化、智能化”是否存在不当。</explain>
      <paraID> FA1B979</paraID>
      <start>9</start>
      <end>20</end>
      <status>unmodified</status>
      <modifiedWord/>
      <trackRevisions>false</trackRevisions>
    </reviewItem>
    <reviewItem>
      <errorID>ab5ee2c1-b0fa-4c4d-bbc4-b18593a1e7c4</errorID>
      <errorWord>转型的</errorWord>
      <group>L1_Word</group>
      <groupName>字词问题</groupName>
      <ability>L2_Typo</ability>
      <abilityName>字词错误</abilityName>
      <candidateList>
        <item>转型</item>
      </candidateList>
      <explain/>
      <paraID> FA1B979</paraID>
      <start>61</start>
      <end>64</end>
      <status>unmodified</status>
      <modifiedWord/>
      <trackRevisions>false</trackRevisions>
    </reviewItem>
    <reviewItem>
      <errorID>1a199185-9782-4e4b-ab1f-f8364fb35edc</errorID>
      <errorWord>!</errorWord>
      <group>L1_Format</group>
      <groupName>格式问题</groupName>
      <ability>L2_HalfPunc_CN</ability>
      <abilityName>全半角问题</abilityName>
      <candidateList>
        <item>！</item>
      </candidateList>
      <explain>文本全半角错误。</explain>
      <paraID>4A551FF0</paraID>
      <start>583</start>
      <end>584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74999365-9EB4-4526-997A-0A86D2AB6F1E}">
  <ds:schemaRefs/>
</ds:datastoreItem>
</file>

<file path=docProps/app.xml><?xml version="1.0" encoding="utf-8"?>
<Properties xmlns="http://schemas.openxmlformats.org/officeDocument/2006/extended-properties" xmlns:vt="http://schemas.openxmlformats.org/officeDocument/2006/docPropsVTypes">
  <Template>Normal.dotm</Template>
  <Pages>9</Pages>
  <Words>5034</Words>
  <Characters>5464</Characters>
  <Lines>146</Lines>
  <Paragraphs>62</Paragraphs>
  <TotalTime>1</TotalTime>
  <ScaleCrop>false</ScaleCrop>
  <LinksUpToDate>false</LinksUpToDate>
  <CharactersWithSpaces>5542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2026-09-24T07:26:00Z</dcterms:created>
  <dc:creator>Hanlu</dc:creator>
  <cp:lastModifiedBy>Hanlu</cp:lastModifiedBy>
  <dcterms:modified xsi:type="dcterms:W3CDTF">2026-09-24T07:29:05Z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A8DA23DA72F94771957A6F24B6AFF184_13</vt:lpwstr>
  </property>
  <property fmtid="{D5CDD505-2E9C-101B-9397-08002B2CF9AE}" pid="4" name="KSOTemplateDocerSaveRecord">
    <vt:lpwstr>eyJoZGlkIjoiODkzYjA3MzJiYTRhZWY0YjljYTkzNzY0YjhmM2MyMjkiLCJ1c2VySWQiOiIxMjgzNzcxMTQ4In0=</vt:lpwstr>
  </property>
</Properties>
</file>