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87463">
      <w:pPr>
        <w:widowControl/>
        <w:tabs>
          <w:tab w:val="right" w:pos="8360"/>
        </w:tabs>
        <w:spacing w:before="120" w:after="240"/>
        <w:jc w:val="left"/>
        <w:rPr>
          <w:rFonts w:ascii="Times New Roman" w:hAnsi="Times New Roman" w:eastAsia="宋体" w:cs="Times New Roman"/>
          <w:b/>
          <w:bCs/>
          <w:sz w:val="24"/>
          <w:szCs w:val="24"/>
          <w:lang w:val="ru-RU"/>
        </w:rPr>
      </w:pPr>
      <w:r>
        <w:rPr>
          <w:rFonts w:ascii="Times New Roman" w:hAnsi="Times New Roman" w:eastAsia="宋体" w:cs="Times New Roman"/>
          <w:b/>
          <w:bCs/>
          <w:sz w:val="24"/>
          <w:szCs w:val="24"/>
          <w:lang w:val="ru-RU"/>
        </w:rPr>
        <w:t>证券代码：603120</w:t>
      </w:r>
      <w:r>
        <w:rPr>
          <w:rFonts w:ascii="Times New Roman" w:hAnsi="Times New Roman" w:eastAsia="宋体" w:cs="Times New Roman"/>
          <w:b/>
          <w:bCs/>
          <w:sz w:val="24"/>
          <w:szCs w:val="24"/>
          <w:lang w:val="ru-RU"/>
        </w:rPr>
        <w:tab/>
      </w:r>
      <w:r>
        <w:rPr>
          <w:rFonts w:ascii="Times New Roman" w:hAnsi="Times New Roman" w:eastAsia="宋体" w:cs="Times New Roman"/>
          <w:b/>
          <w:bCs/>
          <w:sz w:val="24"/>
          <w:szCs w:val="24"/>
          <w:lang w:val="ru-RU"/>
        </w:rPr>
        <w:t>证券简称：肯特催化</w:t>
      </w:r>
    </w:p>
    <w:p w14:paraId="3F8BEDD5">
      <w:pPr>
        <w:widowControl/>
        <w:adjustRightInd w:val="0"/>
        <w:snapToGrid w:val="0"/>
        <w:spacing w:line="360" w:lineRule="auto"/>
        <w:jc w:val="center"/>
        <w:rPr>
          <w:rFonts w:hint="eastAsia" w:ascii="宋体" w:hAnsi="宋体" w:eastAsia="宋体" w:cs="RDFSIJ+ºÚÌå"/>
          <w:b/>
          <w:bCs/>
          <w:color w:val="000000"/>
          <w:sz w:val="32"/>
          <w:szCs w:val="32"/>
          <w:lang w:val="ru-RU"/>
        </w:rPr>
      </w:pPr>
      <w:r>
        <w:rPr>
          <w:rFonts w:hint="eastAsia" w:ascii="宋体" w:hAnsi="宋体" w:eastAsia="宋体" w:cs="RDFSIJ+ºÚÌå"/>
          <w:b/>
          <w:bCs/>
          <w:color w:val="000000"/>
          <w:sz w:val="32"/>
          <w:szCs w:val="32"/>
          <w:lang w:val="ru-RU"/>
        </w:rPr>
        <w:t>肯特催化材料股份有限公司</w:t>
      </w:r>
    </w:p>
    <w:p w14:paraId="19405468">
      <w:pPr>
        <w:widowControl/>
        <w:adjustRightInd w:val="0"/>
        <w:snapToGrid w:val="0"/>
        <w:spacing w:line="360" w:lineRule="auto"/>
        <w:jc w:val="center"/>
        <w:rPr>
          <w:rFonts w:hint="eastAsia" w:ascii="宋体" w:hAnsi="宋体" w:eastAsia="宋体" w:cs="RDFSIJ+ºÚÌå"/>
          <w:color w:val="000000"/>
          <w:sz w:val="32"/>
          <w:szCs w:val="32"/>
          <w:lang w:val="ru-RU"/>
        </w:rPr>
      </w:pPr>
      <w:r>
        <w:rPr>
          <w:rFonts w:hint="eastAsia" w:ascii="宋体" w:hAnsi="宋体" w:eastAsia="宋体" w:cs="RDFSIJ+ºÚÌå"/>
          <w:b/>
          <w:bCs/>
          <w:color w:val="000000"/>
          <w:sz w:val="32"/>
          <w:szCs w:val="32"/>
          <w:lang w:val="ru-RU"/>
        </w:rPr>
        <w:t>投资者关系活动记录表</w:t>
      </w:r>
    </w:p>
    <w:p w14:paraId="2F9B7ED8">
      <w:pPr>
        <w:widowControl/>
        <w:adjustRightInd w:val="0"/>
        <w:snapToGrid w:val="0"/>
        <w:spacing w:line="360" w:lineRule="auto"/>
        <w:jc w:val="right"/>
        <w:rPr>
          <w:rFonts w:hint="default" w:ascii="Times New Roman" w:hAnsi="Times New Roman" w:eastAsia="宋体" w:cs="Times New Roman"/>
          <w:color w:val="000000"/>
          <w:sz w:val="24"/>
          <w:szCs w:val="24"/>
          <w:lang w:val="en-US" w:eastAsia="zh-CN"/>
        </w:rPr>
      </w:pPr>
      <w:r>
        <w:rPr>
          <w:rFonts w:ascii="Times New Roman" w:hAnsi="Times New Roman" w:eastAsia="宋体" w:cs="Times New Roman"/>
          <w:color w:val="000000"/>
          <w:sz w:val="24"/>
          <w:szCs w:val="24"/>
          <w:lang w:val="ru-RU"/>
        </w:rPr>
        <w:t>编号：202</w:t>
      </w:r>
      <w:r>
        <w:rPr>
          <w:rFonts w:hint="eastAsia" w:ascii="Times New Roman" w:hAnsi="Times New Roman" w:eastAsia="宋体" w:cs="Times New Roman"/>
          <w:color w:val="000000"/>
          <w:sz w:val="24"/>
          <w:szCs w:val="24"/>
          <w:lang w:val="ru-RU"/>
        </w:rPr>
        <w:t>609</w:t>
      </w:r>
      <w:r>
        <w:rPr>
          <w:rFonts w:hint="eastAsia" w:ascii="Times New Roman" w:hAnsi="Times New Roman" w:eastAsia="宋体" w:cs="Times New Roman"/>
          <w:color w:val="000000"/>
          <w:sz w:val="24"/>
          <w:szCs w:val="24"/>
          <w:lang w:val="en-US" w:eastAsia="zh-CN"/>
        </w:rPr>
        <w:t>24</w:t>
      </w:r>
    </w:p>
    <w:tbl>
      <w:tblPr>
        <w:tblStyle w:val="15"/>
        <w:tblW w:w="964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655"/>
      </w:tblGrid>
      <w:tr w14:paraId="4DC7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53F2DD24">
            <w:pPr>
              <w:widowControl/>
              <w:wordWrap w:val="0"/>
              <w:adjustRightInd w:val="0"/>
              <w:snapToGrid w:val="0"/>
              <w:spacing w:before="120" w:line="360" w:lineRule="auto"/>
              <w:jc w:val="center"/>
              <w:rPr>
                <w:rFonts w:hint="eastAsia" w:ascii="宋体" w:hAnsi="宋体" w:eastAsia="宋体" w:cs="Times New Roman"/>
                <w:sz w:val="24"/>
                <w:szCs w:val="24"/>
                <w:lang w:val="ru-RU"/>
              </w:rPr>
            </w:pPr>
            <w:r>
              <w:rPr>
                <w:rFonts w:hint="eastAsia" w:ascii="宋体" w:hAnsi="宋体" w:eastAsia="宋体" w:cs="Times New Roman"/>
                <w:sz w:val="24"/>
                <w:szCs w:val="24"/>
                <w:lang w:val="ru-RU"/>
              </w:rPr>
              <w:t>投资者关系活动类别</w:t>
            </w:r>
          </w:p>
        </w:tc>
        <w:tc>
          <w:tcPr>
            <w:tcW w:w="7655" w:type="dxa"/>
            <w:tcBorders>
              <w:top w:val="single" w:color="auto" w:sz="4" w:space="0"/>
              <w:left w:val="single" w:color="auto" w:sz="4" w:space="0"/>
              <w:bottom w:val="single" w:color="auto" w:sz="4" w:space="0"/>
              <w:right w:val="single" w:color="auto" w:sz="4" w:space="0"/>
            </w:tcBorders>
            <w:vAlign w:val="center"/>
          </w:tcPr>
          <w:p w14:paraId="109277A2">
            <w:pPr>
              <w:tabs>
                <w:tab w:val="right" w:pos="8360"/>
              </w:tabs>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 xml:space="preserve">□特定对象调研                   □分析师会议 </w:t>
            </w:r>
          </w:p>
          <w:p w14:paraId="5E042943">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bookmarkStart w:id="0" w:name="OLE_LINK1"/>
            <w:r>
              <w:rPr>
                <w:rFonts w:hint="eastAsia" w:ascii="宋体" w:hAnsi="宋体" w:eastAsia="宋体" w:cs="USHEHF+ËÎÌå"/>
                <w:color w:val="000000"/>
                <w:sz w:val="24"/>
                <w:lang w:val="ru-RU"/>
              </w:rPr>
              <w:t>□</w:t>
            </w:r>
            <w:bookmarkEnd w:id="0"/>
            <w:r>
              <w:rPr>
                <w:rFonts w:hint="eastAsia" w:ascii="宋体" w:hAnsi="宋体" w:eastAsia="宋体" w:cs="USHEHF+ËÎÌå"/>
                <w:color w:val="000000"/>
                <w:sz w:val="24"/>
                <w:lang w:val="ru-RU"/>
              </w:rPr>
              <w:t xml:space="preserve">媒体采访                       </w:t>
            </w:r>
            <w:r>
              <w:rPr>
                <w:rFonts w:hint="eastAsia" w:ascii="宋体" w:hAnsi="宋体" w:eastAsia="宋体" w:cs="USHEHF+ËÎÌå"/>
                <w:color w:val="000000"/>
                <w:sz w:val="24"/>
                <w:lang w:val="ru-RU" w:eastAsia="zh-CN"/>
              </w:rPr>
              <w:t>☑</w:t>
            </w:r>
            <w:r>
              <w:rPr>
                <w:rFonts w:hint="eastAsia" w:ascii="宋体" w:hAnsi="宋体" w:eastAsia="宋体" w:cs="USHEHF+ËÎÌå"/>
                <w:color w:val="000000"/>
                <w:sz w:val="24"/>
                <w:lang w:val="ru-RU"/>
              </w:rPr>
              <w:t>业绩说明会</w:t>
            </w:r>
          </w:p>
          <w:p w14:paraId="60AFDE02">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 xml:space="preserve">□新闻发布会                     </w:t>
            </w:r>
            <w:r>
              <w:rPr>
                <w:rFonts w:hint="eastAsia" w:ascii="宋体" w:hAnsi="宋体" w:eastAsia="宋体" w:cs="USHEHF+ËÎÌå"/>
                <w:color w:val="000000"/>
                <w:sz w:val="24"/>
                <w:lang w:val="ru-RU" w:eastAsia="zh-CN"/>
              </w:rPr>
              <w:t>□</w:t>
            </w:r>
            <w:r>
              <w:rPr>
                <w:rFonts w:hint="eastAsia" w:ascii="宋体" w:hAnsi="宋体" w:eastAsia="宋体" w:cs="USHEHF+ËÎÌå"/>
                <w:color w:val="000000"/>
                <w:sz w:val="24"/>
                <w:lang w:val="ru-RU"/>
              </w:rPr>
              <w:t>路演活动</w:t>
            </w:r>
          </w:p>
          <w:p w14:paraId="55E4D76E">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□现场参观</w:t>
            </w:r>
          </w:p>
          <w:p w14:paraId="1D6BDB46">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u w:val="single"/>
              </w:rPr>
            </w:pPr>
            <w:r>
              <w:rPr>
                <w:rFonts w:hint="eastAsia" w:ascii="Segoe UI Symbol" w:hAnsi="Segoe UI Symbol" w:eastAsia="宋体" w:cs="Segoe UI Symbol"/>
                <w:color w:val="000000"/>
                <w:sz w:val="24"/>
                <w:lang w:val="ru-RU"/>
              </w:rPr>
              <w:t>□</w:t>
            </w:r>
            <w:r>
              <w:rPr>
                <w:rFonts w:hint="eastAsia" w:ascii="宋体" w:hAnsi="宋体" w:eastAsia="宋体" w:cs="宋体"/>
                <w:color w:val="000000"/>
                <w:sz w:val="24"/>
                <w:lang w:val="ru-RU"/>
              </w:rPr>
              <w:t>其他：</w:t>
            </w:r>
            <w:r>
              <w:rPr>
                <w:rFonts w:hint="eastAsia" w:ascii="宋体" w:hAnsi="宋体" w:eastAsia="宋体" w:cs="USHEHF+ËÎÌå"/>
                <w:color w:val="000000"/>
                <w:sz w:val="24"/>
                <w:u w:val="single"/>
                <w:lang w:val="ru-RU"/>
              </w:rPr>
              <w:t xml:space="preserve"> </w:t>
            </w:r>
            <w:r>
              <w:rPr>
                <w:rFonts w:hint="eastAsia" w:ascii="宋体" w:hAnsi="宋体" w:eastAsia="宋体" w:cs="USHEHF+ËÎÌå"/>
                <w:color w:val="000000"/>
                <w:sz w:val="24"/>
                <w:u w:val="single"/>
              </w:rPr>
              <w:t xml:space="preserve">     </w:t>
            </w:r>
          </w:p>
        </w:tc>
      </w:tr>
      <w:tr w14:paraId="30CB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A637687">
            <w:pPr>
              <w:widowControl/>
              <w:wordWrap w:val="0"/>
              <w:adjustRightInd w:val="0"/>
              <w:snapToGrid w:val="0"/>
              <w:spacing w:before="120" w:line="360" w:lineRule="auto"/>
              <w:jc w:val="center"/>
              <w:rPr>
                <w:rFonts w:hint="default" w:ascii="宋体" w:hAnsi="宋体" w:eastAsia="宋体" w:cs="USHEHF+ËÎÌå"/>
                <w:color w:val="000000"/>
                <w:sz w:val="24"/>
                <w:lang w:val="en-US" w:eastAsia="zh-CN"/>
              </w:rPr>
            </w:pPr>
            <w:r>
              <w:rPr>
                <w:rFonts w:hint="eastAsia" w:ascii="宋体" w:hAnsi="宋体" w:eastAsia="宋体" w:cs="USHEHF+ËÎÌå"/>
                <w:color w:val="000000"/>
                <w:sz w:val="24"/>
                <w:lang w:val="en-US" w:eastAsia="zh-CN"/>
              </w:rPr>
              <w:t>活动主题</w:t>
            </w:r>
          </w:p>
        </w:tc>
        <w:tc>
          <w:tcPr>
            <w:tcW w:w="7655" w:type="dxa"/>
            <w:tcBorders>
              <w:top w:val="single" w:color="auto" w:sz="4" w:space="0"/>
              <w:left w:val="single" w:color="auto" w:sz="4" w:space="0"/>
              <w:bottom w:val="single" w:color="auto" w:sz="4" w:space="0"/>
              <w:right w:val="single" w:color="auto" w:sz="4" w:space="0"/>
            </w:tcBorders>
            <w:vAlign w:val="center"/>
          </w:tcPr>
          <w:p w14:paraId="5460A232">
            <w:pPr>
              <w:spacing w:line="360" w:lineRule="auto"/>
              <w:rPr>
                <w:rFonts w:hint="eastAsia" w:ascii="宋体" w:hAnsi="宋体" w:eastAsia="宋体"/>
                <w:sz w:val="24"/>
                <w:szCs w:val="24"/>
              </w:rPr>
            </w:pPr>
            <w:r>
              <w:rPr>
                <w:rFonts w:hint="eastAsia" w:ascii="宋体" w:hAnsi="宋体" w:eastAsia="宋体"/>
                <w:sz w:val="24"/>
                <w:szCs w:val="24"/>
              </w:rPr>
              <w:t>肯特催化2026年半年度业绩说明会</w:t>
            </w:r>
          </w:p>
        </w:tc>
      </w:tr>
      <w:tr w14:paraId="6001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7C4D635">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时间</w:t>
            </w:r>
          </w:p>
        </w:tc>
        <w:tc>
          <w:tcPr>
            <w:tcW w:w="7655" w:type="dxa"/>
            <w:tcBorders>
              <w:top w:val="single" w:color="auto" w:sz="4" w:space="0"/>
              <w:left w:val="single" w:color="auto" w:sz="4" w:space="0"/>
              <w:bottom w:val="single" w:color="auto" w:sz="4" w:space="0"/>
              <w:right w:val="single" w:color="auto" w:sz="4" w:space="0"/>
            </w:tcBorders>
            <w:vAlign w:val="center"/>
          </w:tcPr>
          <w:p w14:paraId="655A9B39">
            <w:pPr>
              <w:widowControl/>
              <w:wordWrap w:val="0"/>
              <w:adjustRightIn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en-US" w:eastAsia="zh-CN"/>
              </w:rPr>
              <w:t>2026年09月24日（星期四）09</w:t>
            </w:r>
            <w:r>
              <w:rPr>
                <w:rFonts w:hint="eastAsia" w:ascii="Times New Roman" w:hAnsi="Times New Roman" w:eastAsia="宋体" w:cs="Times New Roman"/>
                <w:sz w:val="24"/>
                <w:szCs w:val="24"/>
                <w:lang w:val="ru-RU"/>
              </w:rPr>
              <w:t>:00-1</w:t>
            </w:r>
            <w:r>
              <w:rPr>
                <w:rFonts w:hint="eastAsia" w:ascii="Times New Roman" w:hAnsi="Times New Roman" w:eastAsia="宋体" w:cs="Times New Roman"/>
                <w:sz w:val="24"/>
                <w:szCs w:val="24"/>
                <w:lang w:val="en-US" w:eastAsia="zh-CN"/>
              </w:rPr>
              <w:t>0</w:t>
            </w:r>
            <w:r>
              <w:rPr>
                <w:rFonts w:hint="eastAsia" w:ascii="Times New Roman" w:hAnsi="Times New Roman" w:eastAsia="宋体" w:cs="Times New Roman"/>
                <w:sz w:val="24"/>
                <w:szCs w:val="24"/>
                <w:lang w:val="ru-RU"/>
              </w:rPr>
              <w:t>:00</w:t>
            </w:r>
          </w:p>
        </w:tc>
      </w:tr>
      <w:tr w14:paraId="7F72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0990242">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en-US" w:eastAsia="zh-CN"/>
              </w:rPr>
              <w:t>活动</w:t>
            </w:r>
            <w:r>
              <w:rPr>
                <w:rFonts w:hint="eastAsia" w:ascii="宋体" w:hAnsi="宋体" w:eastAsia="宋体" w:cs="USHEHF+ËÎÌå"/>
                <w:color w:val="000000"/>
                <w:sz w:val="24"/>
                <w:lang w:val="ru-RU"/>
              </w:rPr>
              <w:t>地点/方式</w:t>
            </w:r>
          </w:p>
        </w:tc>
        <w:tc>
          <w:tcPr>
            <w:tcW w:w="7655" w:type="dxa"/>
            <w:tcBorders>
              <w:top w:val="single" w:color="auto" w:sz="4" w:space="0"/>
              <w:left w:val="single" w:color="auto" w:sz="4" w:space="0"/>
              <w:bottom w:val="single" w:color="auto" w:sz="4" w:space="0"/>
              <w:right w:val="single" w:color="auto" w:sz="4" w:space="0"/>
            </w:tcBorders>
            <w:vAlign w:val="center"/>
          </w:tcPr>
          <w:p w14:paraId="701D5D4C">
            <w:pPr>
              <w:spacing w:line="360" w:lineRule="auto"/>
              <w:rPr>
                <w:rFonts w:hint="eastAsia" w:ascii="宋体" w:hAnsi="宋体" w:eastAsia="宋体"/>
                <w:sz w:val="24"/>
                <w:szCs w:val="24"/>
              </w:rPr>
            </w:pPr>
            <w:r>
              <w:rPr>
                <w:rFonts w:hint="eastAsia" w:ascii="宋体" w:hAnsi="宋体" w:eastAsia="宋体"/>
                <w:sz w:val="24"/>
                <w:szCs w:val="24"/>
              </w:rPr>
              <w:t xml:space="preserve">上证路演中心 </w:t>
            </w:r>
            <w:r>
              <w:rPr>
                <w:rFonts w:hint="eastAsia" w:ascii="宋体" w:hAnsi="宋体" w:eastAsia="宋体"/>
                <w:sz w:val="24"/>
                <w:szCs w:val="24"/>
              </w:rPr>
              <w:fldChar w:fldCharType="begin"/>
            </w:r>
            <w:r>
              <w:rPr>
                <w:rFonts w:hint="eastAsia" w:ascii="宋体" w:hAnsi="宋体" w:eastAsia="宋体"/>
                <w:sz w:val="24"/>
                <w:szCs w:val="24"/>
              </w:rPr>
              <w:instrText xml:space="preserve"> HYPERLINK "https://roadshow.sseinfo.com" </w:instrText>
            </w:r>
            <w:r>
              <w:rPr>
                <w:rFonts w:hint="eastAsia" w:ascii="宋体" w:hAnsi="宋体" w:eastAsia="宋体"/>
                <w:sz w:val="24"/>
                <w:szCs w:val="24"/>
              </w:rPr>
              <w:fldChar w:fldCharType="separate"/>
            </w:r>
            <w:r>
              <w:rPr>
                <w:rStyle w:val="11"/>
                <w:rFonts w:hint="eastAsia" w:ascii="宋体" w:hAnsi="宋体" w:eastAsia="宋体"/>
                <w:sz w:val="24"/>
                <w:szCs w:val="24"/>
              </w:rPr>
              <w:t>https://roadshow.sseinfo.com</w:t>
            </w:r>
            <w:r>
              <w:rPr>
                <w:rFonts w:hint="eastAsia" w:ascii="宋体" w:hAnsi="宋体" w:eastAsia="宋体"/>
                <w:sz w:val="24"/>
                <w:szCs w:val="24"/>
              </w:rPr>
              <w:fldChar w:fldCharType="end"/>
            </w:r>
          </w:p>
          <w:p w14:paraId="49281E26">
            <w:pPr>
              <w:wordWrap w:val="0"/>
              <w:autoSpaceDE w:val="0"/>
              <w:autoSpaceDN w:val="0"/>
              <w:adjustRightInd w:val="0"/>
              <w:snapToGrid w:val="0"/>
              <w:spacing w:line="276" w:lineRule="auto"/>
              <w:jc w:val="left"/>
              <w:rPr>
                <w:rFonts w:hint="eastAsia" w:ascii="宋体" w:hAnsi="宋体" w:eastAsia="宋体" w:cstheme="minorEastAsia"/>
                <w:sz w:val="24"/>
                <w:szCs w:val="24"/>
              </w:rPr>
            </w:pPr>
            <w:r>
              <w:rPr>
                <w:rFonts w:hint="eastAsia" w:ascii="宋体" w:hAnsi="宋体" w:eastAsia="宋体"/>
                <w:sz w:val="24"/>
                <w:szCs w:val="24"/>
              </w:rPr>
              <w:t>网络文字互动</w:t>
            </w:r>
          </w:p>
        </w:tc>
      </w:tr>
      <w:tr w14:paraId="7BB4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2ED6EBA1">
            <w:pPr>
              <w:widowControl/>
              <w:wordWrap w:val="0"/>
              <w:adjustRightInd w:val="0"/>
              <w:snapToGrid w:val="0"/>
              <w:spacing w:line="360" w:lineRule="auto"/>
              <w:jc w:val="center"/>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上市公司</w:t>
            </w:r>
          </w:p>
          <w:p w14:paraId="542390F8">
            <w:pPr>
              <w:widowControl/>
              <w:wordWrap w:val="0"/>
              <w:adjustRightInd w:val="0"/>
              <w:snapToGrid w:val="0"/>
              <w:spacing w:line="360" w:lineRule="auto"/>
              <w:jc w:val="center"/>
              <w:rPr>
                <w:rFonts w:hint="eastAsia" w:ascii="宋体" w:hAnsi="宋体" w:eastAsia="宋体" w:cs="Times New Roman"/>
                <w:sz w:val="22"/>
                <w:lang w:val="ru-RU" w:eastAsia="zh-CN"/>
              </w:rPr>
            </w:pPr>
            <w:r>
              <w:rPr>
                <w:rFonts w:hint="eastAsia" w:ascii="宋体" w:hAnsi="宋体" w:eastAsia="宋体" w:cs="USHEHF+ËÎÌå"/>
                <w:color w:val="000000"/>
                <w:sz w:val="24"/>
                <w:lang w:val="en-US" w:eastAsia="zh-CN"/>
              </w:rPr>
              <w:t>参会人员</w:t>
            </w:r>
          </w:p>
        </w:tc>
        <w:tc>
          <w:tcPr>
            <w:tcW w:w="7655" w:type="dxa"/>
            <w:tcBorders>
              <w:top w:val="single" w:color="auto" w:sz="4" w:space="0"/>
              <w:left w:val="single" w:color="auto" w:sz="4" w:space="0"/>
              <w:bottom w:val="single" w:color="auto" w:sz="4" w:space="0"/>
              <w:right w:val="single" w:color="auto" w:sz="4" w:space="0"/>
            </w:tcBorders>
            <w:vAlign w:val="center"/>
          </w:tcPr>
          <w:p w14:paraId="2846C6A3">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董事长：项飞勇</w:t>
            </w:r>
          </w:p>
          <w:p w14:paraId="66F44E57">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独立董事：陈效东</w:t>
            </w:r>
          </w:p>
          <w:p w14:paraId="4D5CB4CD">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财务负责人：杨涛</w:t>
            </w:r>
          </w:p>
          <w:p w14:paraId="6088D084">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董事会秘书：张志明</w:t>
            </w:r>
          </w:p>
        </w:tc>
      </w:tr>
      <w:tr w14:paraId="4894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D3A00BE">
            <w:pPr>
              <w:widowControl/>
              <w:wordWrap w:val="0"/>
              <w:adjustRightInd w:val="0"/>
              <w:snapToGrid w:val="0"/>
              <w:spacing w:before="120" w:line="360" w:lineRule="auto"/>
              <w:jc w:val="center"/>
              <w:rPr>
                <w:rFonts w:hint="eastAsia" w:ascii="宋体" w:hAnsi="宋体" w:eastAsia="宋体" w:cs="Times New Roman"/>
                <w:color w:val="000000"/>
                <w:sz w:val="24"/>
                <w:lang w:val="ru-RU"/>
              </w:rPr>
            </w:pPr>
            <w:r>
              <w:rPr>
                <w:rFonts w:hint="eastAsia" w:ascii="宋体" w:hAnsi="宋体" w:eastAsia="宋体" w:cs="等线"/>
                <w:color w:val="000000"/>
                <w:sz w:val="24"/>
                <w:lang w:val="ru-RU"/>
              </w:rPr>
              <w:t>投资者关系活动主要内容介绍</w:t>
            </w:r>
          </w:p>
        </w:tc>
        <w:tc>
          <w:tcPr>
            <w:tcW w:w="7655" w:type="dxa"/>
            <w:tcBorders>
              <w:top w:val="single" w:color="auto" w:sz="4" w:space="0"/>
              <w:left w:val="single" w:color="auto" w:sz="4" w:space="0"/>
              <w:bottom w:val="single" w:color="auto" w:sz="4" w:space="0"/>
              <w:right w:val="single" w:color="auto" w:sz="4" w:space="0"/>
            </w:tcBorders>
            <w:vAlign w:val="center"/>
          </w:tcPr>
          <w:p w14:paraId="18ED8392">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一、基本情况介绍</w:t>
            </w:r>
          </w:p>
          <w:p w14:paraId="5CB5CA0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是一家专注于季铵（鏻）化合物产品研发、生产和销售的高新技术企业，成立于2009年，总部位于浙江仙居，下辖全资子公司江西肯特化学有限公司和浙江肯特催化材料科技有限公司。公司拥有季铵盐、季铵碱、季鏻盐、冠醚等四大系列产品，为精细化工、分子筛、高分子材料、电池电解液、油田化学品、电子化学品等领域的客户提供产品和服务。</w:t>
            </w:r>
          </w:p>
          <w:p w14:paraId="11DAAE32">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通过多年的技术研发创新及产业化应用，公司产品应用形式不断拓展。从初期的相转移催化剂逐步延伸至分子筛模板剂、固化促进剂、电解液添加剂、电子化学品等多用途，实现了产品结构的持续优化与应用场景的拓展。</w:t>
            </w:r>
          </w:p>
          <w:p w14:paraId="68A6B607">
            <w:pPr>
              <w:widowControl/>
              <w:spacing w:line="360" w:lineRule="auto"/>
              <w:ind w:firstLine="480" w:firstLineChars="200"/>
              <w:rPr>
                <w:rFonts w:ascii="Times New Roman" w:hAnsi="Times New Roman" w:eastAsia="宋体" w:cs="Times New Roman"/>
                <w:sz w:val="24"/>
                <w:szCs w:val="24"/>
              </w:rPr>
            </w:pPr>
          </w:p>
          <w:p w14:paraId="391AE5CC">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二、问答交流环节</w:t>
            </w:r>
          </w:p>
          <w:p w14:paraId="2017932F">
            <w:pPr>
              <w:widowControl/>
              <w:spacing w:line="360" w:lineRule="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1、公司2026年中期分红方案是什么？中长期股东回报规划如何？</w:t>
            </w:r>
          </w:p>
          <w:p w14:paraId="200D7FA7">
            <w:pPr>
              <w:widowControl/>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董事长项飞勇答</w:t>
            </w:r>
            <w:r>
              <w:rPr>
                <w:rFonts w:hint="eastAsia" w:ascii="宋体" w:hAnsi="宋体" w:eastAsia="宋体" w:cs="Times New Roman"/>
                <w:sz w:val="24"/>
                <w:szCs w:val="24"/>
                <w:lang w:eastAsia="zh-CN"/>
              </w:rPr>
              <w:t>：</w:t>
            </w:r>
            <w:r>
              <w:rPr>
                <w:rFonts w:hint="eastAsia" w:ascii="宋体" w:hAnsi="宋体" w:eastAsia="宋体" w:cs="Times New Roman"/>
                <w:sz w:val="24"/>
                <w:szCs w:val="24"/>
              </w:rPr>
              <w:t>尊敬的投资者，您好。公司2026年中期利润分配方案为：以2026年6月30日总股本9,040万股为基数，每10股派发现金红利4元（含税），即每股派发现金红利0.40元（含税），合计拟派发现金红利3,616万元（含税），不送红股、不以资本公积转增股本。本次中期分红金额与2025年半年度分红金额一致，体现了公司持续回报投资者的决心。公司将严格遵循《公司章程》及股东分红回报规划，兼顾募投项目建设、长期发展资金需求与股东回报，在经营和资金条件满足的情况下，积极落实分红政策，持续回报广大投资者。感谢您对公司的关注！谢谢！</w:t>
            </w:r>
          </w:p>
          <w:p w14:paraId="4C33197C">
            <w:pPr>
              <w:widowControl/>
              <w:spacing w:line="360" w:lineRule="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2、公司获批设立国家级博士后科研工作站，对研发创新有何意义？</w:t>
            </w:r>
          </w:p>
          <w:p w14:paraId="0864C009">
            <w:pPr>
              <w:widowControl/>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董事长项飞勇答</w:t>
            </w:r>
            <w:r>
              <w:rPr>
                <w:rFonts w:hint="eastAsia" w:ascii="宋体" w:hAnsi="宋体" w:eastAsia="宋体" w:cs="Times New Roman"/>
                <w:sz w:val="24"/>
                <w:szCs w:val="24"/>
                <w:lang w:eastAsia="zh-CN"/>
              </w:rPr>
              <w:t>：</w:t>
            </w:r>
            <w:r>
              <w:rPr>
                <w:rFonts w:hint="eastAsia" w:ascii="宋体" w:hAnsi="宋体" w:eastAsia="宋体" w:cs="Times New Roman"/>
                <w:sz w:val="24"/>
                <w:szCs w:val="24"/>
              </w:rPr>
              <w:t>尊敬的投资者，您好！2026年7月，公司获批准设立国家级博士后科研工作站，这是公司研发平台建设的重要里程碑。国家级博士后科研工作站的设立，将为公司引进和培养高层次科研人才提供重要平台，有助于公司进一步深化产学研协同创新，吸引更多优秀博士人才围绕公司核心技术方向开展研究。公司此前已建有省级高新技术企业研究开发中心、浙江省博士创新站、浙江省博士后工作站等研发平台，长期与高校开展产学研合作。国家级博士后科研工作站的设立，将进一步提升公司的技术创新能力和核心竞争力，为公司高端产品研发和国产化替代进程提供更强的人才与技术支撑。感谢您对公司的关注！谢谢！</w:t>
            </w:r>
          </w:p>
          <w:p w14:paraId="2BA1A23F">
            <w:pPr>
              <w:widowControl/>
              <w:spacing w:line="360" w:lineRule="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3、上半年营收增长但利润增速偏低，公司在成本管控上有哪些具体安排？</w:t>
            </w:r>
          </w:p>
          <w:p w14:paraId="28286CA3">
            <w:pPr>
              <w:widowControl/>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董事长项飞勇答</w:t>
            </w:r>
            <w:r>
              <w:rPr>
                <w:rFonts w:hint="eastAsia" w:ascii="宋体" w:hAnsi="宋体" w:eastAsia="宋体" w:cs="Times New Roman"/>
                <w:sz w:val="24"/>
                <w:szCs w:val="24"/>
                <w:lang w:eastAsia="zh-CN"/>
              </w:rPr>
              <w:t>：</w:t>
            </w:r>
            <w:r>
              <w:rPr>
                <w:rFonts w:hint="eastAsia" w:ascii="宋体" w:hAnsi="宋体" w:eastAsia="宋体" w:cs="Times New Roman"/>
                <w:sz w:val="24"/>
                <w:szCs w:val="24"/>
              </w:rPr>
              <w:t>尊敬的投资者，您好！公司成本管控安排主要有以下几个方面：一是采购端，与核心供应商长期合作、稳定渠道，紧盯核心原料价格、优化采购节奏，依托产品与上下游成本联动定价机制有序传导；二是生产端，推进自动化、密闭化连续生产，依托离子膜电解及绿色工艺降低原辅料、能耗与人工，稳定一次合格率、提升设备利用率；三是费用端严格预算管理、压降非必要开支。公司将持续深化精益生产，巩固成本优势与盈利质量。感谢您的关注！谢谢！</w:t>
            </w:r>
          </w:p>
          <w:p w14:paraId="79ED7B3F">
            <w:pPr>
              <w:widowControl/>
              <w:spacing w:line="360" w:lineRule="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4、电子化学品、电解液添加剂这两块新业务，今年上半年实际营收占比有多少？</w:t>
            </w:r>
          </w:p>
          <w:p w14:paraId="567A3EC7">
            <w:pPr>
              <w:widowControl/>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董事长项飞勇答</w:t>
            </w:r>
            <w:r>
              <w:rPr>
                <w:rFonts w:hint="eastAsia" w:ascii="宋体" w:hAnsi="宋体" w:eastAsia="宋体" w:cs="Times New Roman"/>
                <w:sz w:val="24"/>
                <w:szCs w:val="24"/>
                <w:lang w:eastAsia="zh-CN"/>
              </w:rPr>
              <w:t>：</w:t>
            </w:r>
            <w:r>
              <w:rPr>
                <w:rFonts w:hint="eastAsia" w:ascii="宋体" w:hAnsi="宋体" w:eastAsia="宋体" w:cs="Times New Roman"/>
                <w:sz w:val="24"/>
                <w:szCs w:val="24"/>
              </w:rPr>
              <w:t>尊敬的投资者，您好！公司半年度报告按照产品品类披露营业收入，公司主要产品涵盖季铵盐、季铵碱、季鏻盐、冠醚四大系列。电子化学品、电解液添加剂属于公司产品的下游应用领域，该部分相关收入合并计入现有产品品类收入中，具体经营数据敬请查阅公司半年度报告。后续公司将持续推动产品高端化升级，提升高附加值产品产销占比，进一步优化公司盈利结构。感谢您的关注！谢谢！</w:t>
            </w:r>
          </w:p>
          <w:p w14:paraId="241A97FD">
            <w:pPr>
              <w:widowControl/>
              <w:spacing w:line="360" w:lineRule="auto"/>
              <w:rPr>
                <w:rFonts w:hint="eastAsia" w:ascii="Times New Roman" w:hAnsi="Times New Roman" w:eastAsia="宋体" w:cs="Times New Roman"/>
                <w:b/>
                <w:bCs/>
                <w:sz w:val="24"/>
                <w:szCs w:val="24"/>
              </w:rPr>
            </w:pPr>
            <w:r>
              <w:rPr>
                <w:rFonts w:hint="eastAsia" w:ascii="Times New Roman" w:hAnsi="Times New Roman" w:eastAsia="宋体" w:cs="Times New Roman"/>
                <w:b/>
                <w:bCs/>
                <w:sz w:val="24"/>
                <w:szCs w:val="24"/>
              </w:rPr>
              <w:t>5、年产8860吨功能性催化新材料募投项目，目前最新投产进度是怎样的？</w:t>
            </w:r>
          </w:p>
          <w:p w14:paraId="06CF897D">
            <w:pPr>
              <w:widowControl/>
              <w:spacing w:line="360" w:lineRule="auto"/>
              <w:ind w:firstLine="480" w:firstLineChars="200"/>
              <w:rPr>
                <w:rFonts w:ascii="Times New Roman" w:hAnsi="Times New Roman" w:eastAsia="宋体" w:cs="Times New Roman"/>
                <w:sz w:val="24"/>
                <w:szCs w:val="24"/>
              </w:rPr>
            </w:pPr>
            <w:r>
              <w:rPr>
                <w:rFonts w:hint="eastAsia" w:ascii="宋体" w:hAnsi="宋体" w:eastAsia="宋体" w:cs="Times New Roman"/>
                <w:sz w:val="24"/>
                <w:szCs w:val="24"/>
              </w:rPr>
              <w:t>董事长项飞勇答：尊敬的投资者，您好！截至2026年6月30日累计投入募集资金5,907.58万元，累计投入进度22.11%，项目当前正按照计划正常推进中。项目建成后将进一步完善公司高端催化新材料产能布局，优化产品结构，提升整体盈利能力。感谢您对公司的关注，谢谢！</w:t>
            </w:r>
          </w:p>
        </w:tc>
      </w:tr>
      <w:tr w14:paraId="1044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635C3425">
            <w:pPr>
              <w:widowControl/>
              <w:wordWrap w:val="0"/>
              <w:adjustRightInd w:val="0"/>
              <w:snapToGrid w:val="0"/>
              <w:spacing w:before="120" w:line="360" w:lineRule="auto"/>
              <w:jc w:val="center"/>
              <w:rPr>
                <w:rFonts w:hint="eastAsia" w:ascii="宋体" w:hAnsi="宋体" w:eastAsia="宋体" w:cs="USHEHF+ËÎÌå"/>
                <w:color w:val="000000"/>
                <w:sz w:val="24"/>
                <w:lang w:val="ru-RU"/>
              </w:rPr>
            </w:pPr>
            <w:r>
              <w:rPr>
                <w:rFonts w:ascii="Times New Roman" w:hAnsi="Times New Roman" w:eastAsia="宋体" w:cs="Times New Roman"/>
                <w:bCs/>
                <w:iCs/>
                <w:color w:val="000000"/>
                <w:sz w:val="24"/>
                <w:szCs w:val="24"/>
              </w:rPr>
              <w:t>关于本次活动是否涉及应当披露重大信息的说明</w:t>
            </w:r>
          </w:p>
        </w:tc>
        <w:tc>
          <w:tcPr>
            <w:tcW w:w="7655" w:type="dxa"/>
            <w:tcBorders>
              <w:top w:val="single" w:color="auto" w:sz="4" w:space="0"/>
              <w:left w:val="single" w:color="auto" w:sz="4" w:space="0"/>
              <w:bottom w:val="single" w:color="auto" w:sz="4" w:space="0"/>
              <w:right w:val="single" w:color="auto" w:sz="4" w:space="0"/>
            </w:tcBorders>
            <w:vAlign w:val="center"/>
          </w:tcPr>
          <w:p w14:paraId="63495B69">
            <w:pPr>
              <w:widowControl/>
              <w:wordWrap w:val="0"/>
              <w:adjustRightInd w:val="0"/>
              <w:snapToGrid w:val="0"/>
              <w:spacing w:before="120" w:after="240" w:line="360" w:lineRule="auto"/>
              <w:jc w:val="left"/>
              <w:rPr>
                <w:rFonts w:hint="eastAsia" w:ascii="宋体" w:hAnsi="宋体" w:eastAsia="宋体" w:cs="Times New Roman"/>
                <w:sz w:val="22"/>
                <w:lang w:val="ru-RU"/>
              </w:rPr>
            </w:pPr>
            <w:r>
              <w:rPr>
                <w:rFonts w:ascii="Times New Roman" w:hAnsi="Times New Roman" w:eastAsia="宋体" w:cs="Times New Roman"/>
                <w:bCs/>
                <w:iCs/>
                <w:color w:val="000000"/>
                <w:sz w:val="24"/>
                <w:szCs w:val="24"/>
              </w:rPr>
              <w:t>本次</w:t>
            </w:r>
            <w:r>
              <w:rPr>
                <w:rFonts w:hint="eastAsia" w:ascii="Times New Roman" w:hAnsi="Times New Roman" w:eastAsia="宋体" w:cs="Times New Roman"/>
                <w:bCs/>
                <w:iCs/>
                <w:color w:val="000000"/>
                <w:sz w:val="24"/>
                <w:szCs w:val="24"/>
                <w:lang w:val="en-US" w:eastAsia="zh-CN"/>
              </w:rPr>
              <w:t>业绩说明会</w:t>
            </w:r>
            <w:r>
              <w:rPr>
                <w:rFonts w:ascii="Times New Roman" w:hAnsi="Times New Roman" w:eastAsia="宋体" w:cs="Times New Roman"/>
                <w:bCs/>
                <w:iCs/>
                <w:color w:val="000000"/>
                <w:sz w:val="24"/>
                <w:szCs w:val="24"/>
              </w:rPr>
              <w:t>全程严格遵守信息披露相关法律法规，不存在未披露重大内幕信息泄露</w:t>
            </w:r>
            <w:r>
              <w:rPr>
                <w:rFonts w:hint="eastAsia" w:ascii="Times New Roman" w:hAnsi="Times New Roman" w:eastAsia="宋体" w:cs="Times New Roman"/>
                <w:bCs/>
                <w:iCs/>
                <w:color w:val="000000"/>
                <w:sz w:val="24"/>
                <w:szCs w:val="24"/>
              </w:rPr>
              <w:t>等</w:t>
            </w:r>
            <w:r>
              <w:rPr>
                <w:rFonts w:ascii="Times New Roman" w:hAnsi="Times New Roman" w:eastAsia="宋体" w:cs="Times New Roman"/>
                <w:bCs/>
                <w:iCs/>
                <w:color w:val="000000"/>
                <w:sz w:val="24"/>
                <w:szCs w:val="24"/>
              </w:rPr>
              <w:t>情形。</w:t>
            </w:r>
            <w:bookmarkStart w:id="1" w:name="_GoBack"/>
            <w:bookmarkEnd w:id="1"/>
          </w:p>
        </w:tc>
      </w:tr>
      <w:tr w14:paraId="5B03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0CF0A774">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附件清单（如有）</w:t>
            </w:r>
          </w:p>
        </w:tc>
        <w:tc>
          <w:tcPr>
            <w:tcW w:w="7655" w:type="dxa"/>
            <w:tcBorders>
              <w:top w:val="single" w:color="auto" w:sz="4" w:space="0"/>
              <w:left w:val="single" w:color="auto" w:sz="4" w:space="0"/>
              <w:bottom w:val="single" w:color="auto" w:sz="4" w:space="0"/>
              <w:right w:val="single" w:color="auto" w:sz="4" w:space="0"/>
            </w:tcBorders>
            <w:vAlign w:val="center"/>
          </w:tcPr>
          <w:p w14:paraId="0754CB2F">
            <w:pPr>
              <w:widowControl/>
              <w:wordWrap w:val="0"/>
              <w:adjustRightInd w:val="0"/>
              <w:snapToGrid w:val="0"/>
              <w:spacing w:before="120" w:after="240"/>
              <w:jc w:val="left"/>
              <w:rPr>
                <w:rFonts w:hint="eastAsia" w:ascii="宋体" w:hAnsi="宋体" w:eastAsia="宋体" w:cs="Times New Roman"/>
                <w:sz w:val="22"/>
                <w:lang w:val="ru-RU"/>
              </w:rPr>
            </w:pPr>
            <w:r>
              <w:rPr>
                <w:rFonts w:hint="eastAsia" w:ascii="宋体" w:hAnsi="宋体" w:eastAsia="宋体" w:cs="Times New Roman"/>
                <w:sz w:val="22"/>
                <w:lang w:val="ru-RU"/>
              </w:rPr>
              <w:t>无</w:t>
            </w:r>
          </w:p>
        </w:tc>
      </w:tr>
      <w:tr w14:paraId="0F5B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23EC183">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日期</w:t>
            </w:r>
          </w:p>
        </w:tc>
        <w:tc>
          <w:tcPr>
            <w:tcW w:w="7655" w:type="dxa"/>
            <w:tcBorders>
              <w:top w:val="single" w:color="auto" w:sz="4" w:space="0"/>
              <w:left w:val="single" w:color="auto" w:sz="4" w:space="0"/>
              <w:bottom w:val="single" w:color="auto" w:sz="4" w:space="0"/>
              <w:right w:val="single" w:color="auto" w:sz="4" w:space="0"/>
            </w:tcBorders>
            <w:vAlign w:val="center"/>
          </w:tcPr>
          <w:p w14:paraId="2C929B47">
            <w:pPr>
              <w:widowControl/>
              <w:wordWrap w:val="0"/>
              <w:adjustRightInd w:val="0"/>
              <w:snapToGri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ru-RU"/>
              </w:rPr>
              <w:t>2026年0</w:t>
            </w:r>
            <w:r>
              <w:rPr>
                <w:rFonts w:hint="eastAsia" w:ascii="Times New Roman" w:hAnsi="Times New Roman" w:eastAsia="宋体" w:cs="Times New Roman"/>
                <w:sz w:val="24"/>
                <w:szCs w:val="24"/>
              </w:rPr>
              <w:t>9</w:t>
            </w:r>
            <w:r>
              <w:rPr>
                <w:rFonts w:hint="eastAsia" w:ascii="Times New Roman" w:hAnsi="Times New Roman" w:eastAsia="宋体" w:cs="Times New Roman"/>
                <w:sz w:val="24"/>
                <w:szCs w:val="24"/>
                <w:lang w:val="ru-RU"/>
              </w:rPr>
              <w:t>月</w:t>
            </w:r>
            <w:r>
              <w:rPr>
                <w:rFonts w:hint="eastAsia" w:ascii="Times New Roman" w:hAnsi="Times New Roman" w:eastAsia="宋体" w:cs="Times New Roman"/>
                <w:sz w:val="24"/>
                <w:szCs w:val="24"/>
                <w:lang w:val="en-US" w:eastAsia="zh-CN"/>
              </w:rPr>
              <w:t>24</w:t>
            </w:r>
            <w:r>
              <w:rPr>
                <w:rFonts w:hint="eastAsia" w:ascii="Times New Roman" w:hAnsi="Times New Roman" w:eastAsia="宋体" w:cs="Times New Roman"/>
                <w:sz w:val="24"/>
                <w:szCs w:val="24"/>
                <w:lang w:val="ru-RU"/>
              </w:rPr>
              <w:t>日</w:t>
            </w:r>
          </w:p>
        </w:tc>
      </w:tr>
    </w:tbl>
    <w:p w14:paraId="4DFD2916">
      <w:pPr>
        <w:rPr>
          <w:rFonts w:hint="eastAsia" w:ascii="宋体" w:hAnsi="宋体" w:eastAsia="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RDFSIJ+ºÚÌå">
    <w:altName w:val="Microsoft Sans Serif"/>
    <w:panose1 w:val="00000000000000000000"/>
    <w:charset w:val="00"/>
    <w:family w:val="auto"/>
    <w:pitch w:val="default"/>
    <w:sig w:usb0="00000000" w:usb1="00000000" w:usb2="01010101" w:usb3="01010101" w:csb0="01010101" w:csb1="01010101"/>
  </w:font>
  <w:font w:name="Microsoft Sans Serif">
    <w:panose1 w:val="020B0604020202020204"/>
    <w:charset w:val="00"/>
    <w:family w:val="auto"/>
    <w:pitch w:val="default"/>
    <w:sig w:usb0="E5002EFF" w:usb1="C000605B" w:usb2="00000029" w:usb3="00000000" w:csb0="200101FF" w:csb1="20280000"/>
  </w:font>
  <w:font w:name="USHEHF+ËÎÌå">
    <w:altName w:val="Microsoft Sans Serif"/>
    <w:panose1 w:val="00000000000000000000"/>
    <w:charset w:val="00"/>
    <w:family w:val="auto"/>
    <w:pitch w:val="default"/>
    <w:sig w:usb0="00000000" w:usb1="00000000" w:usb2="01010101" w:usb3="01010101" w:csb0="01010101" w:csb1="01010101"/>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5651294"/>
    </w:sdtPr>
    <w:sdtEndPr>
      <w:rPr>
        <w:rFonts w:ascii="Times New Roman" w:hAnsi="Times New Roman" w:cs="Times New Roman"/>
      </w:rPr>
    </w:sdtEndPr>
    <w:sdtContent>
      <w:p w14:paraId="7E7AC8E9">
        <w:pPr>
          <w:pStyle w:val="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0MTdjODcwZGU1NzQyYzNhNDhiNzk0NWIyMjQ4MDQifQ=="/>
  </w:docVars>
  <w:rsids>
    <w:rsidRoot w:val="008D4693"/>
    <w:rsid w:val="00004123"/>
    <w:rsid w:val="0000779B"/>
    <w:rsid w:val="00030341"/>
    <w:rsid w:val="000309F9"/>
    <w:rsid w:val="00037129"/>
    <w:rsid w:val="00041B5C"/>
    <w:rsid w:val="000618A5"/>
    <w:rsid w:val="00072B02"/>
    <w:rsid w:val="0007641A"/>
    <w:rsid w:val="000874DF"/>
    <w:rsid w:val="000E099B"/>
    <w:rsid w:val="000F2A6D"/>
    <w:rsid w:val="00100534"/>
    <w:rsid w:val="00102411"/>
    <w:rsid w:val="001065FD"/>
    <w:rsid w:val="001077EE"/>
    <w:rsid w:val="00114CA3"/>
    <w:rsid w:val="00133AAA"/>
    <w:rsid w:val="00141B08"/>
    <w:rsid w:val="00174A48"/>
    <w:rsid w:val="001808D8"/>
    <w:rsid w:val="001811BB"/>
    <w:rsid w:val="00184F74"/>
    <w:rsid w:val="00186632"/>
    <w:rsid w:val="001B1D83"/>
    <w:rsid w:val="001B3B04"/>
    <w:rsid w:val="001C019D"/>
    <w:rsid w:val="001D456E"/>
    <w:rsid w:val="001E103A"/>
    <w:rsid w:val="00207057"/>
    <w:rsid w:val="00207F98"/>
    <w:rsid w:val="00211364"/>
    <w:rsid w:val="002136EE"/>
    <w:rsid w:val="002171E1"/>
    <w:rsid w:val="00222C62"/>
    <w:rsid w:val="00224325"/>
    <w:rsid w:val="002247F1"/>
    <w:rsid w:val="00244E0A"/>
    <w:rsid w:val="00246255"/>
    <w:rsid w:val="00257164"/>
    <w:rsid w:val="00275B52"/>
    <w:rsid w:val="00276807"/>
    <w:rsid w:val="002963B7"/>
    <w:rsid w:val="002D7C7D"/>
    <w:rsid w:val="002F0A0A"/>
    <w:rsid w:val="002F1F4F"/>
    <w:rsid w:val="00304635"/>
    <w:rsid w:val="003048CA"/>
    <w:rsid w:val="0031393E"/>
    <w:rsid w:val="00316044"/>
    <w:rsid w:val="0032062B"/>
    <w:rsid w:val="00324724"/>
    <w:rsid w:val="003416AE"/>
    <w:rsid w:val="00347BDA"/>
    <w:rsid w:val="00357A65"/>
    <w:rsid w:val="003628AB"/>
    <w:rsid w:val="00364046"/>
    <w:rsid w:val="003665B2"/>
    <w:rsid w:val="00367582"/>
    <w:rsid w:val="003802CC"/>
    <w:rsid w:val="003A0860"/>
    <w:rsid w:val="003A5D33"/>
    <w:rsid w:val="003B111C"/>
    <w:rsid w:val="003B26AA"/>
    <w:rsid w:val="003B6F82"/>
    <w:rsid w:val="003C6FB4"/>
    <w:rsid w:val="003E5945"/>
    <w:rsid w:val="003F433C"/>
    <w:rsid w:val="003F5CE7"/>
    <w:rsid w:val="004055B3"/>
    <w:rsid w:val="00410EE2"/>
    <w:rsid w:val="004113A7"/>
    <w:rsid w:val="0041536A"/>
    <w:rsid w:val="00417833"/>
    <w:rsid w:val="00432B2C"/>
    <w:rsid w:val="00450001"/>
    <w:rsid w:val="0046685B"/>
    <w:rsid w:val="004956B7"/>
    <w:rsid w:val="004960F1"/>
    <w:rsid w:val="004A77B4"/>
    <w:rsid w:val="004A7DB1"/>
    <w:rsid w:val="004B31B5"/>
    <w:rsid w:val="004B6228"/>
    <w:rsid w:val="004C3B14"/>
    <w:rsid w:val="004C772F"/>
    <w:rsid w:val="004C7DC2"/>
    <w:rsid w:val="004F36D5"/>
    <w:rsid w:val="00515F44"/>
    <w:rsid w:val="0052744E"/>
    <w:rsid w:val="00537186"/>
    <w:rsid w:val="00553AC9"/>
    <w:rsid w:val="00562C53"/>
    <w:rsid w:val="005753B1"/>
    <w:rsid w:val="00581694"/>
    <w:rsid w:val="00582448"/>
    <w:rsid w:val="00584599"/>
    <w:rsid w:val="005927F6"/>
    <w:rsid w:val="00593543"/>
    <w:rsid w:val="005964F7"/>
    <w:rsid w:val="005974F6"/>
    <w:rsid w:val="005A5603"/>
    <w:rsid w:val="005A5CE6"/>
    <w:rsid w:val="005B65EF"/>
    <w:rsid w:val="005C7E38"/>
    <w:rsid w:val="005D2CDB"/>
    <w:rsid w:val="00612466"/>
    <w:rsid w:val="00634EE0"/>
    <w:rsid w:val="00641E8D"/>
    <w:rsid w:val="0065522C"/>
    <w:rsid w:val="006646C5"/>
    <w:rsid w:val="00673FAE"/>
    <w:rsid w:val="006A2EBA"/>
    <w:rsid w:val="006B2ADA"/>
    <w:rsid w:val="006B4E2A"/>
    <w:rsid w:val="006B5C98"/>
    <w:rsid w:val="006B5E13"/>
    <w:rsid w:val="006F24D1"/>
    <w:rsid w:val="00705AE4"/>
    <w:rsid w:val="0073214A"/>
    <w:rsid w:val="0076189F"/>
    <w:rsid w:val="00762524"/>
    <w:rsid w:val="007657E9"/>
    <w:rsid w:val="00767156"/>
    <w:rsid w:val="007772AD"/>
    <w:rsid w:val="007A1F2D"/>
    <w:rsid w:val="007A50D8"/>
    <w:rsid w:val="007C75FF"/>
    <w:rsid w:val="007D1311"/>
    <w:rsid w:val="007D7901"/>
    <w:rsid w:val="007F3F25"/>
    <w:rsid w:val="007F63EA"/>
    <w:rsid w:val="0082731E"/>
    <w:rsid w:val="00832C04"/>
    <w:rsid w:val="008332C1"/>
    <w:rsid w:val="00833488"/>
    <w:rsid w:val="00834FC9"/>
    <w:rsid w:val="00854142"/>
    <w:rsid w:val="00873750"/>
    <w:rsid w:val="00885121"/>
    <w:rsid w:val="008A152B"/>
    <w:rsid w:val="008A2B69"/>
    <w:rsid w:val="008C63A8"/>
    <w:rsid w:val="008D4693"/>
    <w:rsid w:val="008D5B0B"/>
    <w:rsid w:val="008F7A80"/>
    <w:rsid w:val="009249D5"/>
    <w:rsid w:val="0093169F"/>
    <w:rsid w:val="009333D0"/>
    <w:rsid w:val="009450FD"/>
    <w:rsid w:val="00974494"/>
    <w:rsid w:val="00985595"/>
    <w:rsid w:val="009875C4"/>
    <w:rsid w:val="00994BFD"/>
    <w:rsid w:val="00996355"/>
    <w:rsid w:val="009B0958"/>
    <w:rsid w:val="009C11AE"/>
    <w:rsid w:val="009E5559"/>
    <w:rsid w:val="009E7CC3"/>
    <w:rsid w:val="00A20D31"/>
    <w:rsid w:val="00A32163"/>
    <w:rsid w:val="00A352F3"/>
    <w:rsid w:val="00A358B1"/>
    <w:rsid w:val="00A65DD5"/>
    <w:rsid w:val="00A81981"/>
    <w:rsid w:val="00A83A45"/>
    <w:rsid w:val="00AA702B"/>
    <w:rsid w:val="00AA70BF"/>
    <w:rsid w:val="00AC58BF"/>
    <w:rsid w:val="00AC75BE"/>
    <w:rsid w:val="00B02047"/>
    <w:rsid w:val="00B1719D"/>
    <w:rsid w:val="00B20D98"/>
    <w:rsid w:val="00B26201"/>
    <w:rsid w:val="00B44BEE"/>
    <w:rsid w:val="00B47502"/>
    <w:rsid w:val="00B6000E"/>
    <w:rsid w:val="00B67029"/>
    <w:rsid w:val="00B760AD"/>
    <w:rsid w:val="00BA259B"/>
    <w:rsid w:val="00BB6EE2"/>
    <w:rsid w:val="00C10A4A"/>
    <w:rsid w:val="00C14A09"/>
    <w:rsid w:val="00C2318A"/>
    <w:rsid w:val="00C3507B"/>
    <w:rsid w:val="00C436F9"/>
    <w:rsid w:val="00C51686"/>
    <w:rsid w:val="00C67EB3"/>
    <w:rsid w:val="00C85B4B"/>
    <w:rsid w:val="00C97898"/>
    <w:rsid w:val="00CA36D3"/>
    <w:rsid w:val="00CA5826"/>
    <w:rsid w:val="00CB6A4A"/>
    <w:rsid w:val="00CC4A87"/>
    <w:rsid w:val="00CF23EA"/>
    <w:rsid w:val="00CF67CF"/>
    <w:rsid w:val="00D00812"/>
    <w:rsid w:val="00D1138C"/>
    <w:rsid w:val="00D3414F"/>
    <w:rsid w:val="00D35A7E"/>
    <w:rsid w:val="00D42C5C"/>
    <w:rsid w:val="00D71363"/>
    <w:rsid w:val="00DB15D2"/>
    <w:rsid w:val="00DB1911"/>
    <w:rsid w:val="00DB299F"/>
    <w:rsid w:val="00DD56DE"/>
    <w:rsid w:val="00DF1A3B"/>
    <w:rsid w:val="00E14C26"/>
    <w:rsid w:val="00E2048E"/>
    <w:rsid w:val="00E352E6"/>
    <w:rsid w:val="00E43AE3"/>
    <w:rsid w:val="00E45FD5"/>
    <w:rsid w:val="00E57D5F"/>
    <w:rsid w:val="00E72DEA"/>
    <w:rsid w:val="00E829C7"/>
    <w:rsid w:val="00E924AF"/>
    <w:rsid w:val="00EA230F"/>
    <w:rsid w:val="00EB0C05"/>
    <w:rsid w:val="00ED1D76"/>
    <w:rsid w:val="00ED76CF"/>
    <w:rsid w:val="00EE3707"/>
    <w:rsid w:val="00EE7006"/>
    <w:rsid w:val="00F035AF"/>
    <w:rsid w:val="00F04EE8"/>
    <w:rsid w:val="00F11B12"/>
    <w:rsid w:val="00F34504"/>
    <w:rsid w:val="00F8245A"/>
    <w:rsid w:val="00F86299"/>
    <w:rsid w:val="00FA0AF2"/>
    <w:rsid w:val="00FB3D64"/>
    <w:rsid w:val="00FC0DFA"/>
    <w:rsid w:val="00FD3B09"/>
    <w:rsid w:val="00FE3514"/>
    <w:rsid w:val="00FE6BE9"/>
    <w:rsid w:val="00FF5571"/>
    <w:rsid w:val="00FF71D8"/>
    <w:rsid w:val="07182E21"/>
    <w:rsid w:val="0C310613"/>
    <w:rsid w:val="0E157728"/>
    <w:rsid w:val="0EA842EB"/>
    <w:rsid w:val="11BE63FD"/>
    <w:rsid w:val="15695ACC"/>
    <w:rsid w:val="1E6257AE"/>
    <w:rsid w:val="21823A71"/>
    <w:rsid w:val="25B72258"/>
    <w:rsid w:val="27110EAB"/>
    <w:rsid w:val="27DB3EDB"/>
    <w:rsid w:val="27F82CDF"/>
    <w:rsid w:val="2A4E4E38"/>
    <w:rsid w:val="2C7A5105"/>
    <w:rsid w:val="2FD65143"/>
    <w:rsid w:val="345614B9"/>
    <w:rsid w:val="34E857D9"/>
    <w:rsid w:val="41C5246F"/>
    <w:rsid w:val="4A182415"/>
    <w:rsid w:val="4B6702F3"/>
    <w:rsid w:val="4C3E2B07"/>
    <w:rsid w:val="50122996"/>
    <w:rsid w:val="537B1F4B"/>
    <w:rsid w:val="56AD7D44"/>
    <w:rsid w:val="58A62645"/>
    <w:rsid w:val="58FF44B7"/>
    <w:rsid w:val="5B7D7A78"/>
    <w:rsid w:val="5F530220"/>
    <w:rsid w:val="5F8D1984"/>
    <w:rsid w:val="61B67256"/>
    <w:rsid w:val="61F734FF"/>
    <w:rsid w:val="689626B7"/>
    <w:rsid w:val="69550BFB"/>
    <w:rsid w:val="6A773014"/>
    <w:rsid w:val="6BC91E1E"/>
    <w:rsid w:val="6C213DDC"/>
    <w:rsid w:val="6D3451EC"/>
    <w:rsid w:val="6DA32372"/>
    <w:rsid w:val="6DCC7F54"/>
    <w:rsid w:val="74835EFA"/>
    <w:rsid w:val="766A126A"/>
    <w:rsid w:val="77400EE8"/>
    <w:rsid w:val="797D5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3"/>
    <w:unhideWhenUsed/>
    <w:qFormat/>
    <w:uiPriority w:val="99"/>
    <w:pPr>
      <w:jc w:val="left"/>
    </w:pPr>
  </w:style>
  <w:style w:type="paragraph" w:styleId="4">
    <w:name w:val="Balloon Text"/>
    <w:basedOn w:val="1"/>
    <w:link w:val="14"/>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semiHidden/>
    <w:unhideWhenUsed/>
    <w:qFormat/>
    <w:uiPriority w:val="99"/>
    <w:rPr>
      <w:b/>
      <w:bCs/>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semiHidden/>
    <w:unhideWhenUsed/>
    <w:uiPriority w:val="99"/>
    <w:rPr>
      <w:color w:val="0000FF"/>
      <w:u w:val="single"/>
    </w:rPr>
  </w:style>
  <w:style w:type="character" w:styleId="12">
    <w:name w:val="annotation reference"/>
    <w:basedOn w:val="10"/>
    <w:semiHidden/>
    <w:unhideWhenUsed/>
    <w:qFormat/>
    <w:uiPriority w:val="99"/>
    <w:rPr>
      <w:sz w:val="21"/>
      <w:szCs w:val="21"/>
    </w:rPr>
  </w:style>
  <w:style w:type="character" w:customStyle="1" w:styleId="13">
    <w:name w:val="批注文字 字符"/>
    <w:basedOn w:val="10"/>
    <w:link w:val="3"/>
    <w:qFormat/>
    <w:uiPriority w:val="99"/>
  </w:style>
  <w:style w:type="character" w:customStyle="1" w:styleId="14">
    <w:name w:val="批注框文本 字符"/>
    <w:basedOn w:val="10"/>
    <w:link w:val="4"/>
    <w:semiHidden/>
    <w:qFormat/>
    <w:uiPriority w:val="99"/>
    <w:rPr>
      <w:sz w:val="18"/>
      <w:szCs w:val="18"/>
    </w:rPr>
  </w:style>
  <w:style w:type="table" w:customStyle="1" w:styleId="15">
    <w:name w:val="网格型1"/>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批注主题 字符"/>
    <w:basedOn w:val="13"/>
    <w:link w:val="7"/>
    <w:semiHidden/>
    <w:qFormat/>
    <w:uiPriority w:val="99"/>
    <w:rPr>
      <w:b/>
      <w:bCs/>
    </w:rPr>
  </w:style>
  <w:style w:type="character" w:customStyle="1" w:styleId="17">
    <w:name w:val="页眉 字符"/>
    <w:basedOn w:val="10"/>
    <w:link w:val="6"/>
    <w:qFormat/>
    <w:uiPriority w:val="99"/>
    <w:rPr>
      <w:sz w:val="18"/>
      <w:szCs w:val="18"/>
    </w:rPr>
  </w:style>
  <w:style w:type="character" w:customStyle="1" w:styleId="18">
    <w:name w:val="页脚 字符"/>
    <w:basedOn w:val="10"/>
    <w:link w:val="5"/>
    <w:qFormat/>
    <w:uiPriority w:val="99"/>
    <w:rPr>
      <w:sz w:val="18"/>
      <w:szCs w:val="18"/>
    </w:rPr>
  </w:style>
  <w:style w:type="paragraph" w:customStyle="1" w:styleId="19">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660A-EF25-4AA7-81F4-369DAF38659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1718</Words>
  <Characters>1825</Characters>
  <Lines>35</Lines>
  <Paragraphs>10</Paragraphs>
  <TotalTime>25</TotalTime>
  <ScaleCrop>false</ScaleCrop>
  <LinksUpToDate>false</LinksUpToDate>
  <CharactersWithSpaces>1897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2023-12-04T06:19:00Z</dcterms:created>
  <dc:creator>23221</dc:creator>
  <cp:lastModifiedBy>LiuQQ</cp:lastModifiedBy>
  <dcterms:modified xsi:type="dcterms:W3CDTF">2026-09-24T07:39:00Z</dcterms:modified>
  <cp:revision>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59EA601E02D844CE8CB29771B4B99C24_13</vt:lpwstr>
  </property>
  <property fmtid="{D5CDD505-2E9C-101B-9397-08002B2CF9AE}" pid="4" name="KSOTemplateDocerSaveRecord">
    <vt:lpwstr>eyJoZGlkIjoiY2NmZTY4NmI2ZThjZGU0Yjc3NmE0M2Y0MWE4ODFlNWQiLCJ1c2VySWQiOiIxMTQ5MTU5NTg4In0=</vt:lpwstr>
  </property>
</Properties>
</file>