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8E55E9">
      <w:pPr>
        <w:keepNext/>
        <w:keepLines/>
        <w:spacing w:before="260" w:after="260"/>
        <w:rPr>
          <w:rFonts w:hint="eastAsia" w:ascii="宋体" w:hAnsi="宋体" w:cs="Times New Roman"/>
          <w:b/>
          <w:bCs/>
          <w:iCs/>
          <w:sz w:val="24"/>
          <w:szCs w:val="24"/>
        </w:rPr>
      </w:pPr>
      <w:r>
        <w:rPr>
          <w:rFonts w:hint="eastAsia" w:ascii="宋体" w:hAnsi="宋体" w:cs="Times New Roman"/>
          <w:b/>
          <w:bCs/>
          <w:iCs/>
          <w:sz w:val="24"/>
          <w:szCs w:val="24"/>
        </w:rPr>
        <w:t>证券代码：</w:t>
      </w:r>
      <w:r>
        <w:rPr>
          <w:rFonts w:ascii="宋体" w:hAnsi="宋体" w:cs="Times New Roman"/>
          <w:b/>
          <w:bCs/>
          <w:iCs/>
          <w:sz w:val="24"/>
          <w:szCs w:val="24"/>
        </w:rPr>
        <w:t>60</w:t>
      </w:r>
      <w:r>
        <w:rPr>
          <w:rFonts w:hint="eastAsia" w:ascii="宋体" w:hAnsi="宋体" w:cs="Times New Roman"/>
          <w:b/>
          <w:bCs/>
          <w:iCs/>
          <w:sz w:val="24"/>
          <w:szCs w:val="24"/>
        </w:rPr>
        <w:t>5488</w:t>
      </w:r>
      <w:r>
        <w:rPr>
          <w:rFonts w:ascii="宋体" w:hAnsi="宋体" w:cs="Times New Roman"/>
          <w:b/>
          <w:bCs/>
          <w:iCs/>
          <w:sz w:val="24"/>
          <w:szCs w:val="24"/>
        </w:rPr>
        <w:t xml:space="preserve"> </w:t>
      </w:r>
      <w:r>
        <w:rPr>
          <w:rFonts w:hint="eastAsia" w:ascii="宋体" w:hAnsi="宋体" w:cs="Times New Roman"/>
          <w:b/>
          <w:bCs/>
          <w:iCs/>
          <w:sz w:val="24"/>
          <w:szCs w:val="24"/>
        </w:rPr>
        <w:t xml:space="preserve">                                证券简称：福莱新材</w:t>
      </w:r>
    </w:p>
    <w:p w14:paraId="77829CF0">
      <w:pPr>
        <w:keepNext/>
        <w:keepLines/>
        <w:spacing w:before="260" w:after="260"/>
        <w:rPr>
          <w:rFonts w:hint="eastAsia" w:ascii="宋体" w:hAnsi="宋体" w:cs="Times New Roman"/>
          <w:b/>
          <w:bCs/>
          <w:iCs/>
          <w:sz w:val="24"/>
          <w:szCs w:val="24"/>
        </w:rPr>
      </w:pPr>
      <w:r>
        <w:rPr>
          <w:rFonts w:hint="eastAsia" w:ascii="宋体" w:hAnsi="宋体" w:cs="Times New Roman"/>
          <w:b/>
          <w:bCs/>
          <w:iCs/>
          <w:sz w:val="24"/>
          <w:szCs w:val="24"/>
        </w:rPr>
        <w:t>债券代码：111012                                 债券简称：福新转债</w:t>
      </w:r>
    </w:p>
    <w:p w14:paraId="68CBA676">
      <w:pPr>
        <w:keepNext/>
        <w:keepLines/>
        <w:spacing w:before="156" w:beforeLines="50" w:after="156" w:afterLines="50" w:line="360" w:lineRule="auto"/>
        <w:jc w:val="center"/>
        <w:rPr>
          <w:rFonts w:hint="eastAsia" w:ascii="宋体" w:hAnsi="宋体" w:cs="Times New Roman"/>
          <w:b/>
          <w:bCs/>
          <w:sz w:val="32"/>
          <w:szCs w:val="32"/>
        </w:rPr>
      </w:pPr>
      <w:r>
        <w:rPr>
          <w:rFonts w:hint="eastAsia" w:ascii="宋体" w:hAnsi="宋体" w:cs="Times New Roman"/>
          <w:b/>
          <w:bCs/>
          <w:sz w:val="32"/>
          <w:szCs w:val="32"/>
        </w:rPr>
        <w:t>浙江福莱新材料股份有限公司</w:t>
      </w:r>
    </w:p>
    <w:p w14:paraId="67BDDFB2">
      <w:pPr>
        <w:keepNext/>
        <w:keepLines/>
        <w:spacing w:before="156" w:beforeLines="50" w:after="156" w:afterLines="50" w:line="360" w:lineRule="auto"/>
        <w:jc w:val="center"/>
        <w:rPr>
          <w:rFonts w:hint="eastAsia" w:ascii="宋体" w:hAnsi="宋体" w:cs="Times New Roman"/>
          <w:b/>
          <w:bCs/>
          <w:sz w:val="32"/>
          <w:szCs w:val="32"/>
        </w:rPr>
      </w:pPr>
      <w:r>
        <w:rPr>
          <w:rFonts w:hint="eastAsia" w:ascii="宋体" w:hAnsi="宋体" w:cs="Times New Roman"/>
          <w:b/>
          <w:bCs/>
          <w:sz w:val="32"/>
          <w:szCs w:val="32"/>
        </w:rPr>
        <w:t>投资者关系活动记录表</w:t>
      </w:r>
    </w:p>
    <w:p w14:paraId="7A3B9FE7">
      <w:pPr>
        <w:keepNext/>
        <w:keepLines/>
        <w:spacing w:before="260" w:after="260" w:line="360" w:lineRule="auto"/>
        <w:jc w:val="left"/>
        <w:outlineLvl w:val="1"/>
        <w:rPr>
          <w:rFonts w:hint="eastAsia" w:ascii="宋体" w:hAnsi="宋体" w:eastAsia="宋体" w:cs="Times New Roman"/>
          <w:b/>
          <w:bCs/>
          <w:sz w:val="24"/>
          <w:szCs w:val="24"/>
          <w:lang w:val="en-US" w:eastAsia="zh-CN"/>
        </w:rPr>
      </w:pPr>
      <w:r>
        <w:rPr>
          <w:rFonts w:hint="eastAsia" w:ascii="宋体" w:hAnsi="宋体" w:cs="Times New Roman"/>
          <w:b/>
          <w:bCs/>
          <w:sz w:val="24"/>
          <w:szCs w:val="24"/>
        </w:rPr>
        <w:t>编号：2026-00</w:t>
      </w:r>
      <w:r>
        <w:rPr>
          <w:rFonts w:hint="eastAsia" w:ascii="宋体" w:hAnsi="宋体" w:cs="Times New Roman"/>
          <w:b/>
          <w:bCs/>
          <w:sz w:val="24"/>
          <w:szCs w:val="24"/>
          <w:lang w:val="en-US" w:eastAsia="zh-CN"/>
        </w:rPr>
        <w:t>4</w:t>
      </w:r>
    </w:p>
    <w:tbl>
      <w:tblPr>
        <w:tblStyle w:val="11"/>
        <w:tblW w:w="891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5"/>
        <w:gridCol w:w="7258"/>
      </w:tblGrid>
      <w:tr w14:paraId="0BBCE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5" w:type="dxa"/>
            <w:vAlign w:val="center"/>
          </w:tcPr>
          <w:p w14:paraId="5C7264DE">
            <w:pPr>
              <w:spacing w:line="360" w:lineRule="auto"/>
              <w:jc w:val="left"/>
              <w:rPr>
                <w:rFonts w:hint="eastAsia" w:ascii="宋体" w:hAnsi="宋体" w:cs="Times New Roman"/>
                <w:b/>
                <w:bCs/>
                <w:iCs/>
                <w:sz w:val="24"/>
                <w:szCs w:val="24"/>
              </w:rPr>
            </w:pPr>
            <w:r>
              <w:rPr>
                <w:rFonts w:hint="eastAsia" w:ascii="宋体" w:hAnsi="宋体" w:cs="Times New Roman"/>
                <w:b/>
                <w:bCs/>
                <w:iCs/>
                <w:sz w:val="24"/>
                <w:szCs w:val="24"/>
              </w:rPr>
              <w:t>投资者关系活动类别</w:t>
            </w:r>
          </w:p>
        </w:tc>
        <w:tc>
          <w:tcPr>
            <w:tcW w:w="7258" w:type="dxa"/>
          </w:tcPr>
          <w:p w14:paraId="2B946D8B">
            <w:pPr>
              <w:spacing w:line="360" w:lineRule="auto"/>
              <w:rPr>
                <w:rFonts w:hint="eastAsia" w:ascii="宋体" w:hAnsi="宋体" w:cs="Times New Roman"/>
                <w:bCs/>
                <w:iCs/>
                <w:sz w:val="24"/>
                <w:szCs w:val="24"/>
              </w:rPr>
            </w:pPr>
            <w:r>
              <w:rPr>
                <w:rFonts w:hint="eastAsia" w:ascii="宋体" w:hAnsi="宋体" w:cs="Times New Roman"/>
                <w:bCs/>
                <w:iCs/>
                <w:sz w:val="24"/>
                <w:szCs w:val="24"/>
              </w:rPr>
              <w:t>□</w:t>
            </w:r>
            <w:r>
              <w:rPr>
                <w:rFonts w:hint="eastAsia" w:ascii="宋体" w:hAnsi="宋体" w:cs="Times New Roman"/>
                <w:sz w:val="24"/>
                <w:szCs w:val="24"/>
              </w:rPr>
              <w:t xml:space="preserve">特定对象调研        </w:t>
            </w:r>
            <w:r>
              <w:rPr>
                <w:rFonts w:hint="eastAsia" w:ascii="宋体" w:hAnsi="宋体" w:cs="Times New Roman"/>
                <w:bCs/>
                <w:iCs/>
                <w:sz w:val="24"/>
                <w:szCs w:val="24"/>
              </w:rPr>
              <w:t>□</w:t>
            </w:r>
            <w:r>
              <w:rPr>
                <w:rFonts w:hint="eastAsia" w:ascii="宋体" w:hAnsi="宋体" w:cs="Times New Roman"/>
                <w:sz w:val="24"/>
                <w:szCs w:val="24"/>
              </w:rPr>
              <w:t>分析师会议</w:t>
            </w:r>
          </w:p>
          <w:p w14:paraId="783B3F9D">
            <w:pPr>
              <w:spacing w:line="360" w:lineRule="auto"/>
              <w:rPr>
                <w:rFonts w:hint="eastAsia" w:ascii="宋体" w:hAnsi="宋体" w:cs="Times New Roman"/>
                <w:bCs/>
                <w:iCs/>
                <w:sz w:val="24"/>
                <w:szCs w:val="24"/>
              </w:rPr>
            </w:pPr>
            <w:r>
              <w:rPr>
                <w:rFonts w:hint="eastAsia" w:ascii="宋体" w:hAnsi="宋体" w:cs="Times New Roman"/>
                <w:bCs/>
                <w:iCs/>
                <w:sz w:val="24"/>
                <w:szCs w:val="24"/>
              </w:rPr>
              <w:t>□</w:t>
            </w:r>
            <w:r>
              <w:rPr>
                <w:rFonts w:hint="eastAsia" w:ascii="宋体" w:hAnsi="宋体" w:cs="Times New Roman"/>
                <w:sz w:val="24"/>
                <w:szCs w:val="24"/>
              </w:rPr>
              <w:t xml:space="preserve">媒体采访            </w:t>
            </w:r>
            <w:r>
              <w:rPr>
                <w:rFonts w:hint="eastAsia" w:ascii="宋体" w:hAnsi="宋体"/>
                <w:sz w:val="24"/>
                <w:szCs w:val="24"/>
              </w:rPr>
              <w:t>■</w:t>
            </w:r>
            <w:r>
              <w:rPr>
                <w:rFonts w:hint="eastAsia" w:ascii="宋体" w:hAnsi="宋体" w:cs="Times New Roman"/>
                <w:sz w:val="24"/>
                <w:szCs w:val="24"/>
              </w:rPr>
              <w:t>业绩说明会</w:t>
            </w:r>
          </w:p>
          <w:p w14:paraId="14046D3D">
            <w:pPr>
              <w:spacing w:line="360" w:lineRule="auto"/>
              <w:rPr>
                <w:rFonts w:hint="eastAsia" w:ascii="宋体" w:hAnsi="宋体" w:cs="Times New Roman"/>
                <w:bCs/>
                <w:iCs/>
                <w:sz w:val="24"/>
                <w:szCs w:val="24"/>
              </w:rPr>
            </w:pPr>
            <w:r>
              <w:rPr>
                <w:rFonts w:hint="eastAsia" w:ascii="宋体" w:hAnsi="宋体" w:cs="Times New Roman"/>
                <w:bCs/>
                <w:iCs/>
                <w:sz w:val="24"/>
                <w:szCs w:val="24"/>
              </w:rPr>
              <w:t>□</w:t>
            </w:r>
            <w:r>
              <w:rPr>
                <w:rFonts w:hint="eastAsia" w:ascii="宋体" w:hAnsi="宋体" w:cs="Times New Roman"/>
                <w:sz w:val="24"/>
                <w:szCs w:val="24"/>
              </w:rPr>
              <w:t xml:space="preserve">新闻发布会          </w:t>
            </w:r>
            <w:r>
              <w:rPr>
                <w:rFonts w:hint="eastAsia" w:ascii="宋体" w:hAnsi="宋体" w:cs="Times New Roman"/>
                <w:bCs/>
                <w:iCs/>
                <w:sz w:val="24"/>
                <w:szCs w:val="24"/>
                <w:lang w:eastAsia="zh-CN"/>
              </w:rPr>
              <w:t>□</w:t>
            </w:r>
            <w:r>
              <w:rPr>
                <w:rFonts w:hint="eastAsia" w:ascii="宋体" w:hAnsi="宋体" w:cs="Times New Roman"/>
                <w:sz w:val="24"/>
                <w:szCs w:val="24"/>
              </w:rPr>
              <w:t>路演活动</w:t>
            </w:r>
          </w:p>
          <w:p w14:paraId="08DF72BD">
            <w:pPr>
              <w:tabs>
                <w:tab w:val="left" w:pos="2690"/>
                <w:tab w:val="center" w:pos="3199"/>
              </w:tabs>
              <w:spacing w:line="360" w:lineRule="auto"/>
              <w:rPr>
                <w:rFonts w:hint="eastAsia" w:ascii="宋体" w:hAnsi="宋体" w:cs="Times New Roman"/>
                <w:bCs/>
                <w:iCs/>
                <w:sz w:val="24"/>
                <w:szCs w:val="24"/>
              </w:rPr>
            </w:pPr>
            <w:r>
              <w:rPr>
                <w:rFonts w:hint="eastAsia" w:ascii="宋体" w:hAnsi="宋体" w:cs="Times New Roman"/>
                <w:bCs/>
                <w:iCs/>
                <w:sz w:val="24"/>
                <w:szCs w:val="24"/>
              </w:rPr>
              <w:t>□</w:t>
            </w:r>
            <w:r>
              <w:rPr>
                <w:rFonts w:hint="eastAsia" w:ascii="宋体" w:hAnsi="宋体" w:cs="Times New Roman"/>
                <w:sz w:val="24"/>
                <w:szCs w:val="24"/>
              </w:rPr>
              <w:t xml:space="preserve">现场参观 </w:t>
            </w:r>
            <w:r>
              <w:rPr>
                <w:rFonts w:ascii="宋体" w:hAnsi="宋体" w:cs="Times New Roman"/>
                <w:sz w:val="24"/>
                <w:szCs w:val="24"/>
              </w:rPr>
              <w:t xml:space="preserve">         </w:t>
            </w:r>
            <w:r>
              <w:rPr>
                <w:rFonts w:hint="eastAsia" w:ascii="宋体" w:hAnsi="宋体" w:cs="Times New Roman"/>
                <w:sz w:val="24"/>
                <w:szCs w:val="24"/>
              </w:rPr>
              <w:t xml:space="preserve">  </w:t>
            </w:r>
            <w:r>
              <w:rPr>
                <w:rFonts w:hint="eastAsia" w:ascii="宋体" w:hAnsi="宋体" w:cs="Times New Roman"/>
                <w:bCs/>
                <w:iCs/>
                <w:sz w:val="24"/>
                <w:szCs w:val="24"/>
                <w:lang w:eastAsia="zh-CN"/>
              </w:rPr>
              <w:t>□</w:t>
            </w:r>
            <w:r>
              <w:rPr>
                <w:rFonts w:hint="eastAsia" w:ascii="宋体" w:hAnsi="宋体" w:cs="Times New Roman"/>
                <w:sz w:val="24"/>
                <w:szCs w:val="24"/>
              </w:rPr>
              <w:t>电话会议</w:t>
            </w:r>
          </w:p>
          <w:p w14:paraId="7F416B43">
            <w:pPr>
              <w:tabs>
                <w:tab w:val="center" w:pos="3199"/>
              </w:tabs>
              <w:spacing w:line="360" w:lineRule="auto"/>
              <w:rPr>
                <w:rFonts w:hint="eastAsia" w:ascii="宋体" w:hAnsi="宋体" w:cs="Times New Roman"/>
                <w:bCs/>
                <w:iCs/>
                <w:sz w:val="24"/>
                <w:szCs w:val="24"/>
                <w:u w:val="single"/>
              </w:rPr>
            </w:pPr>
            <w:r>
              <w:rPr>
                <w:rFonts w:hint="eastAsia" w:ascii="宋体" w:hAnsi="宋体" w:cs="Times New Roman"/>
                <w:bCs/>
                <w:iCs/>
                <w:sz w:val="24"/>
                <w:szCs w:val="24"/>
              </w:rPr>
              <w:t>□</w:t>
            </w:r>
            <w:r>
              <w:rPr>
                <w:rFonts w:hint="eastAsia" w:ascii="宋体" w:hAnsi="宋体" w:cs="Times New Roman"/>
                <w:sz w:val="24"/>
                <w:szCs w:val="24"/>
              </w:rPr>
              <w:t>其他</w:t>
            </w:r>
            <w:r>
              <w:rPr>
                <w:rFonts w:hint="eastAsia" w:ascii="宋体" w:hAnsi="宋体" w:cs="Times New Roman"/>
                <w:sz w:val="24"/>
                <w:szCs w:val="24"/>
                <w:u w:val="single"/>
              </w:rPr>
              <w:t xml:space="preserve">     </w:t>
            </w:r>
            <w:r>
              <w:rPr>
                <w:rFonts w:ascii="宋体" w:hAnsi="宋体" w:cs="Times New Roman"/>
                <w:sz w:val="24"/>
                <w:szCs w:val="24"/>
                <w:u w:val="single"/>
              </w:rPr>
              <w:t xml:space="preserve"> </w:t>
            </w:r>
            <w:r>
              <w:rPr>
                <w:rFonts w:hint="eastAsia" w:ascii="宋体" w:hAnsi="宋体" w:cs="Times New Roman"/>
                <w:sz w:val="24"/>
                <w:szCs w:val="24"/>
                <w:u w:val="single"/>
              </w:rPr>
              <w:t xml:space="preserve"> </w:t>
            </w:r>
          </w:p>
        </w:tc>
      </w:tr>
      <w:tr w14:paraId="762EA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55" w:type="dxa"/>
            <w:vAlign w:val="center"/>
          </w:tcPr>
          <w:p w14:paraId="693B8C89">
            <w:pPr>
              <w:pStyle w:val="9"/>
              <w:rPr>
                <w:rFonts w:hint="eastAsia" w:cs="Times New Roman"/>
                <w:b/>
                <w:bCs/>
                <w:iCs/>
              </w:rPr>
            </w:pPr>
            <w:r>
              <w:rPr>
                <w:rFonts w:hint="eastAsia" w:cs="Times New Roman"/>
                <w:b/>
                <w:bCs/>
                <w:iCs/>
                <w:kern w:val="2"/>
              </w:rPr>
              <w:t>参与单位名称</w:t>
            </w:r>
          </w:p>
        </w:tc>
        <w:tc>
          <w:tcPr>
            <w:tcW w:w="7258" w:type="dxa"/>
          </w:tcPr>
          <w:p w14:paraId="24000E80">
            <w:pPr>
              <w:spacing w:line="360" w:lineRule="auto"/>
              <w:rPr>
                <w:rFonts w:hint="eastAsia" w:ascii="宋体" w:hAnsi="宋体" w:cs="Times New Roman"/>
                <w:bCs/>
                <w:iCs/>
                <w:sz w:val="24"/>
                <w:szCs w:val="24"/>
                <w:highlight w:val="yellow"/>
              </w:rPr>
            </w:pPr>
            <w:r>
              <w:rPr>
                <w:rFonts w:hint="eastAsia" w:ascii="宋体" w:hAnsi="宋体" w:cs="Times New Roman"/>
                <w:bCs/>
                <w:iCs/>
                <w:sz w:val="24"/>
                <w:szCs w:val="24"/>
                <w:lang w:val="en-US" w:eastAsia="zh-CN"/>
              </w:rPr>
              <w:t>通过网络互动参与公司业绩说明会的投资者</w:t>
            </w:r>
          </w:p>
        </w:tc>
      </w:tr>
      <w:tr w14:paraId="61DA4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1655" w:type="dxa"/>
            <w:vAlign w:val="center"/>
          </w:tcPr>
          <w:p w14:paraId="7769CCB0">
            <w:pPr>
              <w:spacing w:line="360" w:lineRule="auto"/>
              <w:jc w:val="left"/>
              <w:rPr>
                <w:rFonts w:hint="eastAsia" w:ascii="宋体" w:hAnsi="宋体" w:cs="Times New Roman"/>
                <w:b/>
                <w:bCs/>
                <w:iCs/>
                <w:sz w:val="24"/>
                <w:szCs w:val="24"/>
              </w:rPr>
            </w:pPr>
            <w:r>
              <w:rPr>
                <w:rFonts w:hint="eastAsia" w:ascii="宋体" w:hAnsi="宋体" w:cs="Times New Roman"/>
                <w:b/>
                <w:bCs/>
                <w:iCs/>
                <w:sz w:val="24"/>
                <w:szCs w:val="24"/>
              </w:rPr>
              <w:t>时间</w:t>
            </w:r>
          </w:p>
        </w:tc>
        <w:tc>
          <w:tcPr>
            <w:tcW w:w="7258" w:type="dxa"/>
            <w:vAlign w:val="center"/>
          </w:tcPr>
          <w:p w14:paraId="30DE7925">
            <w:pPr>
              <w:spacing w:line="360" w:lineRule="auto"/>
              <w:jc w:val="both"/>
              <w:rPr>
                <w:rFonts w:hint="default" w:ascii="宋体" w:hAnsi="宋体" w:eastAsia="宋体" w:cs="Times New Roman"/>
                <w:b/>
                <w:iCs/>
                <w:sz w:val="24"/>
                <w:szCs w:val="24"/>
                <w:lang w:val="en-US" w:eastAsia="zh-CN"/>
              </w:rPr>
            </w:pPr>
            <w:r>
              <w:rPr>
                <w:rFonts w:hint="eastAsia" w:ascii="宋体" w:hAnsi="宋体"/>
                <w:sz w:val="24"/>
              </w:rPr>
              <w:t>2026年</w:t>
            </w:r>
            <w:r>
              <w:rPr>
                <w:rFonts w:hint="eastAsia" w:ascii="宋体" w:hAnsi="宋体"/>
                <w:sz w:val="24"/>
                <w:lang w:val="en-US" w:eastAsia="zh-CN"/>
              </w:rPr>
              <w:t>9</w:t>
            </w:r>
            <w:r>
              <w:rPr>
                <w:rFonts w:hint="eastAsia" w:ascii="宋体" w:hAnsi="宋体"/>
                <w:sz w:val="24"/>
              </w:rPr>
              <w:t>月</w:t>
            </w:r>
            <w:r>
              <w:rPr>
                <w:rFonts w:hint="eastAsia" w:ascii="宋体" w:hAnsi="宋体"/>
                <w:sz w:val="24"/>
                <w:lang w:val="en-US" w:eastAsia="zh-CN"/>
              </w:rPr>
              <w:t>24日15:00-16:00</w:t>
            </w:r>
          </w:p>
        </w:tc>
      </w:tr>
      <w:tr w14:paraId="7A94C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1655" w:type="dxa"/>
            <w:vAlign w:val="center"/>
          </w:tcPr>
          <w:p w14:paraId="0E08ED63">
            <w:pPr>
              <w:spacing w:line="360" w:lineRule="auto"/>
              <w:jc w:val="left"/>
              <w:rPr>
                <w:rFonts w:hint="eastAsia" w:ascii="宋体" w:hAnsi="宋体" w:cs="Times New Roman"/>
                <w:b/>
                <w:bCs/>
                <w:iCs/>
                <w:sz w:val="24"/>
                <w:szCs w:val="24"/>
              </w:rPr>
            </w:pPr>
            <w:r>
              <w:rPr>
                <w:rFonts w:hint="eastAsia" w:ascii="宋体" w:hAnsi="宋体" w:cs="Times New Roman"/>
                <w:b/>
                <w:bCs/>
                <w:iCs/>
                <w:sz w:val="24"/>
                <w:szCs w:val="24"/>
              </w:rPr>
              <w:t>地点</w:t>
            </w:r>
          </w:p>
        </w:tc>
        <w:tc>
          <w:tcPr>
            <w:tcW w:w="7258" w:type="dxa"/>
            <w:vAlign w:val="center"/>
          </w:tcPr>
          <w:p w14:paraId="0787AA16">
            <w:pPr>
              <w:spacing w:line="360" w:lineRule="auto"/>
              <w:jc w:val="both"/>
              <w:rPr>
                <w:rFonts w:hint="eastAsia" w:ascii="宋体" w:hAnsi="宋体"/>
                <w:sz w:val="24"/>
              </w:rPr>
            </w:pPr>
            <w:r>
              <w:rPr>
                <w:rFonts w:hint="eastAsia" w:ascii="宋体" w:hAnsi="宋体"/>
                <w:sz w:val="24"/>
              </w:rPr>
              <w:t>上证路演中心（https://roadshow.sseinfo.com）</w:t>
            </w:r>
          </w:p>
        </w:tc>
      </w:tr>
      <w:tr w14:paraId="701DF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1" w:hRule="atLeast"/>
        </w:trPr>
        <w:tc>
          <w:tcPr>
            <w:tcW w:w="1655" w:type="dxa"/>
            <w:vAlign w:val="center"/>
          </w:tcPr>
          <w:p w14:paraId="399DB572">
            <w:pPr>
              <w:spacing w:line="360" w:lineRule="auto"/>
              <w:jc w:val="left"/>
              <w:rPr>
                <w:rFonts w:hint="eastAsia" w:ascii="宋体" w:hAnsi="宋体" w:cs="Times New Roman"/>
                <w:b/>
                <w:bCs/>
                <w:iCs/>
                <w:sz w:val="24"/>
                <w:szCs w:val="24"/>
              </w:rPr>
            </w:pPr>
            <w:r>
              <w:rPr>
                <w:rFonts w:hint="eastAsia" w:ascii="宋体" w:hAnsi="宋体" w:cs="Times New Roman"/>
                <w:b/>
                <w:bCs/>
                <w:iCs/>
                <w:sz w:val="24"/>
                <w:szCs w:val="24"/>
              </w:rPr>
              <w:t>上市公司接待人员姓名</w:t>
            </w:r>
          </w:p>
        </w:tc>
        <w:tc>
          <w:tcPr>
            <w:tcW w:w="7258" w:type="dxa"/>
            <w:vAlign w:val="center"/>
          </w:tcPr>
          <w:p w14:paraId="717852BF">
            <w:pPr>
              <w:autoSpaceDE w:val="0"/>
              <w:autoSpaceDN w:val="0"/>
              <w:adjustRightInd w:val="0"/>
              <w:spacing w:line="360" w:lineRule="auto"/>
              <w:rPr>
                <w:rFonts w:hint="default" w:ascii="sans-serif" w:hAnsi="sans-serif" w:eastAsia="sans-serif" w:cs="sans-serif"/>
                <w:i w:val="0"/>
                <w:iCs w:val="0"/>
                <w:caps w:val="0"/>
                <w:spacing w:val="0"/>
                <w:sz w:val="24"/>
                <w:szCs w:val="24"/>
                <w:shd w:val="clear" w:fill="FFFFFF"/>
              </w:rPr>
            </w:pPr>
            <w:r>
              <w:rPr>
                <w:rFonts w:ascii="sans-serif" w:hAnsi="sans-serif" w:eastAsia="sans-serif" w:cs="sans-serif"/>
                <w:i w:val="0"/>
                <w:iCs w:val="0"/>
                <w:caps w:val="0"/>
                <w:spacing w:val="0"/>
                <w:sz w:val="24"/>
                <w:szCs w:val="24"/>
                <w:shd w:val="clear" w:fill="FFFFFF"/>
              </w:rPr>
              <w:t>董</w:t>
            </w:r>
            <w:r>
              <w:rPr>
                <w:rFonts w:hint="default" w:ascii="sans-serif" w:hAnsi="sans-serif" w:eastAsia="sans-serif" w:cs="sans-serif"/>
                <w:i w:val="0"/>
                <w:iCs w:val="0"/>
                <w:caps w:val="0"/>
                <w:spacing w:val="0"/>
                <w:sz w:val="24"/>
                <w:szCs w:val="24"/>
                <w:shd w:val="clear" w:fill="FFFFFF"/>
              </w:rPr>
              <w:t>事长：夏厚君先生</w:t>
            </w:r>
          </w:p>
          <w:p w14:paraId="57C32011">
            <w:pPr>
              <w:autoSpaceDE w:val="0"/>
              <w:autoSpaceDN w:val="0"/>
              <w:adjustRightInd w:val="0"/>
              <w:spacing w:line="360" w:lineRule="auto"/>
              <w:rPr>
                <w:rFonts w:hint="default" w:ascii="sans-serif" w:hAnsi="sans-serif" w:eastAsia="sans-serif" w:cs="sans-serif"/>
                <w:i w:val="0"/>
                <w:iCs w:val="0"/>
                <w:caps w:val="0"/>
                <w:spacing w:val="0"/>
                <w:sz w:val="24"/>
                <w:szCs w:val="24"/>
                <w:shd w:val="clear" w:fill="FFFFFF"/>
              </w:rPr>
            </w:pPr>
            <w:r>
              <w:rPr>
                <w:rFonts w:ascii="sans-serif" w:hAnsi="sans-serif" w:eastAsia="sans-serif" w:cs="sans-serif"/>
                <w:i w:val="0"/>
                <w:iCs w:val="0"/>
                <w:caps w:val="0"/>
                <w:spacing w:val="0"/>
                <w:sz w:val="24"/>
                <w:szCs w:val="24"/>
                <w:shd w:val="clear" w:fill="FFFFFF"/>
              </w:rPr>
              <w:t>总</w:t>
            </w:r>
            <w:r>
              <w:rPr>
                <w:rFonts w:hint="default" w:ascii="sans-serif" w:hAnsi="sans-serif" w:eastAsia="sans-serif" w:cs="sans-serif"/>
                <w:i w:val="0"/>
                <w:iCs w:val="0"/>
                <w:caps w:val="0"/>
                <w:spacing w:val="0"/>
                <w:sz w:val="24"/>
                <w:szCs w:val="24"/>
                <w:shd w:val="clear" w:fill="FFFFFF"/>
              </w:rPr>
              <w:t>经理：李耀邦先生</w:t>
            </w:r>
          </w:p>
          <w:p w14:paraId="1A76A139">
            <w:pPr>
              <w:autoSpaceDE w:val="0"/>
              <w:autoSpaceDN w:val="0"/>
              <w:adjustRightInd w:val="0"/>
              <w:spacing w:line="360" w:lineRule="auto"/>
              <w:rPr>
                <w:rFonts w:hint="default" w:ascii="sans-serif" w:hAnsi="sans-serif" w:eastAsia="sans-serif" w:cs="sans-serif"/>
                <w:i w:val="0"/>
                <w:iCs w:val="0"/>
                <w:caps w:val="0"/>
                <w:spacing w:val="0"/>
                <w:sz w:val="24"/>
                <w:szCs w:val="24"/>
                <w:shd w:val="clear" w:fill="FFFFFF"/>
              </w:rPr>
            </w:pPr>
            <w:r>
              <w:rPr>
                <w:rFonts w:ascii="sans-serif" w:hAnsi="sans-serif" w:eastAsia="sans-serif" w:cs="sans-serif"/>
                <w:i w:val="0"/>
                <w:iCs w:val="0"/>
                <w:caps w:val="0"/>
                <w:spacing w:val="0"/>
                <w:sz w:val="24"/>
                <w:szCs w:val="24"/>
                <w:shd w:val="clear" w:fill="FFFFFF"/>
              </w:rPr>
              <w:t>董</w:t>
            </w:r>
            <w:r>
              <w:rPr>
                <w:rFonts w:hint="default" w:ascii="sans-serif" w:hAnsi="sans-serif" w:eastAsia="sans-serif" w:cs="sans-serif"/>
                <w:i w:val="0"/>
                <w:iCs w:val="0"/>
                <w:caps w:val="0"/>
                <w:spacing w:val="0"/>
                <w:sz w:val="24"/>
                <w:szCs w:val="24"/>
                <w:shd w:val="clear" w:fill="FFFFFF"/>
              </w:rPr>
              <w:t>事会秘书：聂胜先生</w:t>
            </w:r>
          </w:p>
          <w:p w14:paraId="701AB20E">
            <w:pPr>
              <w:autoSpaceDE w:val="0"/>
              <w:autoSpaceDN w:val="0"/>
              <w:adjustRightInd w:val="0"/>
              <w:spacing w:line="360" w:lineRule="auto"/>
              <w:rPr>
                <w:rFonts w:hint="default" w:ascii="sans-serif" w:hAnsi="sans-serif" w:eastAsia="sans-serif" w:cs="sans-serif"/>
                <w:i w:val="0"/>
                <w:iCs w:val="0"/>
                <w:caps w:val="0"/>
                <w:spacing w:val="0"/>
                <w:sz w:val="24"/>
                <w:szCs w:val="24"/>
                <w:shd w:val="clear" w:fill="FFFFFF"/>
              </w:rPr>
            </w:pPr>
            <w:r>
              <w:rPr>
                <w:rFonts w:ascii="sans-serif" w:hAnsi="sans-serif" w:eastAsia="sans-serif" w:cs="sans-serif"/>
                <w:i w:val="0"/>
                <w:iCs w:val="0"/>
                <w:caps w:val="0"/>
                <w:spacing w:val="0"/>
                <w:sz w:val="24"/>
                <w:szCs w:val="24"/>
                <w:shd w:val="clear" w:fill="FFFFFF"/>
              </w:rPr>
              <w:t>财</w:t>
            </w:r>
            <w:r>
              <w:rPr>
                <w:rFonts w:hint="default" w:ascii="sans-serif" w:hAnsi="sans-serif" w:eastAsia="sans-serif" w:cs="sans-serif"/>
                <w:i w:val="0"/>
                <w:iCs w:val="0"/>
                <w:caps w:val="0"/>
                <w:spacing w:val="0"/>
                <w:sz w:val="24"/>
                <w:szCs w:val="24"/>
                <w:shd w:val="clear" w:fill="FFFFFF"/>
              </w:rPr>
              <w:t>务负责人：刘延安先生</w:t>
            </w:r>
          </w:p>
          <w:p w14:paraId="55A817ED">
            <w:pPr>
              <w:autoSpaceDE w:val="0"/>
              <w:autoSpaceDN w:val="0"/>
              <w:adjustRightInd w:val="0"/>
              <w:spacing w:line="360" w:lineRule="auto"/>
              <w:rPr>
                <w:rFonts w:hint="eastAsia" w:ascii="sans-serif" w:hAnsi="sans-serif" w:cs="sans-serif"/>
                <w:sz w:val="24"/>
                <w:szCs w:val="24"/>
                <w:shd w:val="clear" w:color="auto" w:fill="FFFFFF"/>
              </w:rPr>
            </w:pPr>
            <w:r>
              <w:rPr>
                <w:rFonts w:ascii="sans-serif" w:hAnsi="sans-serif" w:eastAsia="sans-serif" w:cs="sans-serif"/>
                <w:i w:val="0"/>
                <w:iCs w:val="0"/>
                <w:caps w:val="0"/>
                <w:spacing w:val="0"/>
                <w:sz w:val="24"/>
                <w:szCs w:val="24"/>
                <w:shd w:val="clear" w:fill="FFFFFF"/>
              </w:rPr>
              <w:t>独</w:t>
            </w:r>
            <w:r>
              <w:rPr>
                <w:rFonts w:hint="default" w:ascii="sans-serif" w:hAnsi="sans-serif" w:eastAsia="sans-serif" w:cs="sans-serif"/>
                <w:i w:val="0"/>
                <w:iCs w:val="0"/>
                <w:caps w:val="0"/>
                <w:spacing w:val="0"/>
                <w:sz w:val="24"/>
                <w:szCs w:val="24"/>
                <w:shd w:val="clear" w:fill="FFFFFF"/>
              </w:rPr>
              <w:t>立董事：</w:t>
            </w:r>
            <w:r>
              <w:rPr>
                <w:rFonts w:hint="eastAsia" w:ascii="sans-serif" w:hAnsi="sans-serif" w:cs="sans-serif"/>
                <w:i w:val="0"/>
                <w:iCs w:val="0"/>
                <w:caps w:val="0"/>
                <w:spacing w:val="0"/>
                <w:sz w:val="24"/>
                <w:szCs w:val="24"/>
                <w:shd w:val="clear" w:fill="FFFFFF"/>
                <w:lang w:val="en-US" w:eastAsia="zh-CN"/>
              </w:rPr>
              <w:t>吕炜劼</w:t>
            </w:r>
            <w:r>
              <w:rPr>
                <w:rFonts w:hint="default" w:ascii="sans-serif" w:hAnsi="sans-serif" w:eastAsia="sans-serif" w:cs="sans-serif"/>
                <w:i w:val="0"/>
                <w:iCs w:val="0"/>
                <w:caps w:val="0"/>
                <w:spacing w:val="0"/>
                <w:sz w:val="24"/>
                <w:szCs w:val="24"/>
                <w:shd w:val="clear" w:fill="FFFFFF"/>
              </w:rPr>
              <w:t>先生</w:t>
            </w:r>
          </w:p>
        </w:tc>
      </w:tr>
      <w:tr w14:paraId="1C7B2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trPr>
        <w:tc>
          <w:tcPr>
            <w:tcW w:w="1655" w:type="dxa"/>
            <w:vAlign w:val="center"/>
          </w:tcPr>
          <w:p w14:paraId="47B2B82E">
            <w:pPr>
              <w:spacing w:line="360" w:lineRule="auto"/>
              <w:jc w:val="left"/>
              <w:rPr>
                <w:rFonts w:hint="eastAsia" w:ascii="宋体" w:hAnsi="宋体" w:cs="Times New Roman"/>
                <w:b/>
                <w:bCs/>
                <w:iCs/>
                <w:sz w:val="24"/>
                <w:szCs w:val="24"/>
              </w:rPr>
            </w:pPr>
            <w:r>
              <w:rPr>
                <w:rFonts w:hint="eastAsia" w:ascii="宋体" w:hAnsi="宋体" w:cs="Times New Roman"/>
                <w:b/>
                <w:bCs/>
                <w:iCs/>
                <w:sz w:val="24"/>
                <w:szCs w:val="24"/>
              </w:rPr>
              <w:t>投资者关系活动主要内容介绍</w:t>
            </w:r>
          </w:p>
        </w:tc>
        <w:tc>
          <w:tcPr>
            <w:tcW w:w="7258" w:type="dxa"/>
          </w:tcPr>
          <w:p w14:paraId="5D988D8A">
            <w:pPr>
              <w:spacing w:line="360" w:lineRule="auto"/>
              <w:ind w:firstLine="482" w:firstLineChars="200"/>
              <w:jc w:val="left"/>
              <w:rPr>
                <w:rFonts w:hint="eastAsia" w:ascii="宋体" w:hAnsi="宋体" w:eastAsia="宋体"/>
                <w:b/>
                <w:bCs/>
                <w:sz w:val="24"/>
                <w:szCs w:val="24"/>
                <w:highlight w:val="none"/>
                <w:shd w:val="clear" w:color="auto" w:fill="FFFFFF"/>
                <w:lang w:eastAsia="zh-CN"/>
              </w:rPr>
            </w:pPr>
            <w:r>
              <w:rPr>
                <w:rFonts w:hint="eastAsia" w:ascii="宋体" w:hAnsi="宋体"/>
                <w:b/>
                <w:bCs/>
                <w:sz w:val="24"/>
                <w:szCs w:val="24"/>
                <w:highlight w:val="none"/>
                <w:shd w:val="clear" w:color="auto" w:fill="FFFFFF"/>
              </w:rPr>
              <w:t>问题</w:t>
            </w:r>
            <w:r>
              <w:rPr>
                <w:rFonts w:hint="eastAsia" w:ascii="宋体" w:hAnsi="宋体"/>
                <w:b/>
                <w:bCs/>
                <w:sz w:val="24"/>
                <w:szCs w:val="24"/>
                <w:highlight w:val="none"/>
                <w:shd w:val="clear" w:color="auto" w:fill="FFFFFF"/>
                <w:lang w:val="en-US" w:eastAsia="zh-CN"/>
              </w:rPr>
              <w:t>1</w:t>
            </w:r>
            <w:r>
              <w:rPr>
                <w:rFonts w:hint="eastAsia" w:ascii="宋体" w:hAnsi="宋体"/>
                <w:b/>
                <w:bCs/>
                <w:sz w:val="24"/>
                <w:szCs w:val="24"/>
                <w:highlight w:val="none"/>
                <w:shd w:val="clear" w:color="auto" w:fill="FFFFFF"/>
              </w:rPr>
              <w:t>：李总，您好！当前行业内同行企业已陆续推出**电容式、压电式**等多技术路线电子皮肤产品，赛道技术路线竞争趋于多元。公司披露当前柔性触觉传感器以压阻式技术路线为主，同时开展多条传感技术路线的前期技术储备。请问除压阻式以外，公司在电容式、压电等其他传感路线上的储备进展如何？内部有无相关技术储备转向样品、小批量产品的评判标准，大致会以哪些条件作为节点，推动储备技术向实际产品落地转化？同时公司全身电子皮肤方案从小批量导入到规模化量产，目前主要还需要攻克哪些关键环节？</w:t>
            </w:r>
          </w:p>
          <w:p w14:paraId="259D9E7C">
            <w:pPr>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答：尊敬的投资者，您好！柔性触觉传感赛道技术路径较多，不同技术路线在灵敏度、信噪比、抗干扰、制备工艺、成本、环境适应性上各有优劣，适配的下游应用场景也存在差异。现阶段公司主力落地产品仍以压阻式芯感一体方案为主，同时根据不同应用场景可提供综合性技术融合解决方案。公司内部会综合多维度条件做研判，在实际决策过程中，重点会参考以下核心节点：一是技术成熟度，包括材料可获得性、工艺可实现性、性能指标的稳定性与一致性；二是市场端需求，下游是否存在明确的应用场景、客户真实需求以及可预期的订单基础；三是产业化可行性，包含制造成本水平、供应链配套能力、良率可控性；四是投入产出的商业合理性。</w:t>
            </w:r>
          </w:p>
          <w:p w14:paraId="183F5E2D">
            <w:pPr>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全身电子皮肤类方案从小批量导入迈向规模化量产，仍需要持续攻克多项关键环节：第一是工艺一致性管控。全身大面积阵列化传感单元，对材料批次稳定性、大面积制备工艺、单元之间性能均一性提出很高要求，需要持续优化产线工艺、提升良率水平；第二是系统集成与信号处理能力。大面积多通道传感带来海量采集信号，需要进一步优化信号调理、降噪、数据解算，降低系统整机功耗，提升整套系统的稳定性与抗干扰能力；第三是供应链与成本管控。大面积方案涉及传感单元、柔性基材、布线、信号采集模块等多个部分，需要完善供应链配套，持续推动成本下行，满足商业化落地的成本要求；第四是客户场景验证迭代。需要结合整机端实际工况，开展大量可靠性、耐久性测试，根据客户真实使用反馈持续迭代优化产品，完成客户端的准入验证。</w:t>
            </w:r>
          </w:p>
          <w:p w14:paraId="60A81BAB">
            <w:pPr>
              <w:spacing w:line="360" w:lineRule="auto"/>
              <w:ind w:firstLine="480" w:firstLineChars="200"/>
              <w:jc w:val="left"/>
              <w:rPr>
                <w:rFonts w:hint="default" w:ascii="Segoe UI" w:hAnsi="Segoe UI" w:eastAsia="Segoe UI" w:cs="Segoe UI"/>
                <w:i w:val="0"/>
                <w:iCs w:val="0"/>
                <w:caps w:val="0"/>
                <w:color w:val="0F1115"/>
                <w:spacing w:val="0"/>
                <w:sz w:val="19"/>
                <w:szCs w:val="19"/>
                <w:shd w:val="clear" w:fill="FFFFFF"/>
                <w:lang w:val="en-US" w:eastAsia="zh-CN"/>
              </w:rPr>
            </w:pPr>
            <w:r>
              <w:rPr>
                <w:rFonts w:hint="eastAsia" w:ascii="宋体" w:hAnsi="宋体"/>
                <w:sz w:val="24"/>
                <w:szCs w:val="24"/>
                <w:highlight w:val="none"/>
              </w:rPr>
              <w:t>整体来看，柔性电子皮肤尚处于产业发展早期，多技术路线研发投入、工艺攻关、客户验证均存在不确定性。公司将优先把资源聚焦于压阻式路线现有产品的迭代与产业化落地，同时持续跟踪其他技术路线发展。若后续达到信息披露标准，公司将及时履行信息披露义务，请投资者注意相关风险。感谢您的关注！</w:t>
            </w:r>
          </w:p>
          <w:p w14:paraId="7EED0DBB">
            <w:pPr>
              <w:spacing w:line="360" w:lineRule="auto"/>
              <w:rPr>
                <w:rFonts w:hint="eastAsia" w:ascii="宋体" w:hAnsi="宋体"/>
                <w:sz w:val="24"/>
                <w:szCs w:val="24"/>
              </w:rPr>
            </w:pPr>
          </w:p>
          <w:p w14:paraId="3CAB4322">
            <w:pPr>
              <w:spacing w:line="360" w:lineRule="auto"/>
              <w:ind w:firstLine="482" w:firstLineChars="200"/>
              <w:rPr>
                <w:rFonts w:ascii="宋体" w:hAnsi="宋体"/>
                <w:b/>
                <w:bCs/>
                <w:sz w:val="24"/>
                <w:szCs w:val="24"/>
                <w:highlight w:val="none"/>
              </w:rPr>
            </w:pPr>
            <w:r>
              <w:rPr>
                <w:rFonts w:hint="eastAsia" w:ascii="宋体" w:hAnsi="宋体"/>
                <w:b/>
                <w:bCs/>
                <w:sz w:val="24"/>
                <w:szCs w:val="24"/>
                <w:highlight w:val="none"/>
              </w:rPr>
              <w:t>问题</w:t>
            </w:r>
            <w:r>
              <w:rPr>
                <w:rFonts w:hint="eastAsia" w:ascii="宋体" w:hAnsi="宋体"/>
                <w:b/>
                <w:bCs/>
                <w:sz w:val="24"/>
                <w:szCs w:val="24"/>
                <w:highlight w:val="none"/>
                <w:lang w:val="en-US" w:eastAsia="zh-CN"/>
              </w:rPr>
              <w:t>2：董秘，您好！公司如何持续构建技术壁垒，在柔性触觉传感器、电子皮肤领域长期维持自身的技术领先性？公司是否正在参与触觉传感器、电子皮肤、数据采集手套相关国家标准的编制工作？</w:t>
            </w:r>
          </w:p>
          <w:p w14:paraId="619817C1">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答：尊敬的投资者，您好！柔性触觉传感行业处于技术迭代中，公司从多方面夯实综合竞争能力，持续布局相关专利，搭建专业化研发团队并配套激励机制，结合下游客户实际应用反馈迭代产品，同时沉淀工艺、供应链与制造能力，聚焦四大主线推进产业化落地。公司将密切跟踪标准化进展，积极参与产业技术研讨并提供技术参考。感谢您的关注！</w:t>
            </w:r>
          </w:p>
          <w:p w14:paraId="20F7E634">
            <w:pPr>
              <w:spacing w:line="360" w:lineRule="auto"/>
              <w:ind w:firstLine="480" w:firstLineChars="200"/>
              <w:rPr>
                <w:rFonts w:hint="eastAsia" w:ascii="宋体" w:hAnsi="宋体"/>
                <w:sz w:val="24"/>
                <w:szCs w:val="24"/>
                <w:highlight w:val="none"/>
              </w:rPr>
            </w:pPr>
          </w:p>
          <w:p w14:paraId="51799786">
            <w:pPr>
              <w:spacing w:line="360" w:lineRule="auto"/>
              <w:ind w:firstLine="482" w:firstLineChars="200"/>
              <w:rPr>
                <w:rFonts w:hint="eastAsia" w:ascii="宋体" w:hAnsi="宋体"/>
                <w:b/>
                <w:bCs/>
                <w:sz w:val="24"/>
                <w:szCs w:val="24"/>
                <w:highlight w:val="none"/>
                <w:lang w:val="en-US" w:eastAsia="zh-CN"/>
              </w:rPr>
            </w:pPr>
            <w:r>
              <w:rPr>
                <w:rFonts w:hint="eastAsia" w:ascii="宋体" w:hAnsi="宋体"/>
                <w:b/>
                <w:bCs/>
                <w:sz w:val="24"/>
                <w:szCs w:val="24"/>
                <w:highlight w:val="none"/>
              </w:rPr>
              <w:t>问题</w:t>
            </w:r>
            <w:r>
              <w:rPr>
                <w:rFonts w:hint="eastAsia" w:ascii="宋体" w:hAnsi="宋体"/>
                <w:b/>
                <w:bCs/>
                <w:sz w:val="24"/>
                <w:szCs w:val="24"/>
                <w:highlight w:val="none"/>
                <w:lang w:val="en-US" w:eastAsia="zh-CN"/>
              </w:rPr>
              <w:t>3</w:t>
            </w:r>
            <w:r>
              <w:rPr>
                <w:rFonts w:hint="eastAsia" w:ascii="宋体" w:hAnsi="宋体"/>
                <w:b/>
                <w:bCs/>
                <w:sz w:val="24"/>
                <w:szCs w:val="24"/>
                <w:highlight w:val="none"/>
              </w:rPr>
              <w:t>:夏董，您好！公司与灵心巧手、汤姆猫、奋达科技、兆威机电等战略合作伙伴的业务合作进展如何？产品在客户落地应用过程中，是否收到客户反馈的产品优化需求？战略伙伴是否有提出定制电容式等其他技术路线传感器产品的需求？</w:t>
            </w:r>
          </w:p>
          <w:p w14:paraId="2B9C4598">
            <w:pPr>
              <w:numPr>
                <w:ilvl w:val="0"/>
                <w:numId w:val="0"/>
              </w:numPr>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答：尊敬的投资者，您好！公司柔性传感业务已与国内外多家头部客户实现批量交付，在产品落地验证过程中，下游客户会结合自身应用场景，针对灵敏度、结构设计、可靠性、环境适应性等方面提出产品迭代优化需求，研发团队会结合客户实际使用场景，持续对现有压阻式芯感一体产品开展工艺优化、性能迭代，持续完善整套感知解决方案能力。公司柔性传感业务拥有多路线专利技术储备，可提供多模态感知软硬件一体化方案，满足不同客户需求。感谢您的关注！</w:t>
            </w:r>
          </w:p>
          <w:p w14:paraId="20E11AF8">
            <w:pPr>
              <w:spacing w:line="360" w:lineRule="auto"/>
              <w:ind w:firstLine="480" w:firstLineChars="200"/>
              <w:rPr>
                <w:rFonts w:hint="eastAsia" w:ascii="宋体" w:hAnsi="宋体"/>
                <w:sz w:val="24"/>
                <w:szCs w:val="24"/>
                <w:highlight w:val="none"/>
                <w:lang w:val="en-US" w:eastAsia="zh-CN"/>
              </w:rPr>
            </w:pPr>
          </w:p>
          <w:p w14:paraId="6FE817F6">
            <w:pPr>
              <w:autoSpaceDE w:val="0"/>
              <w:autoSpaceDN w:val="0"/>
              <w:adjustRightInd w:val="0"/>
              <w:spacing w:line="360" w:lineRule="auto"/>
              <w:ind w:firstLine="482" w:firstLineChars="200"/>
              <w:jc w:val="left"/>
              <w:rPr>
                <w:rFonts w:hint="eastAsia" w:ascii="宋体" w:hAnsi="宋体"/>
                <w:b/>
                <w:bCs/>
                <w:sz w:val="24"/>
                <w:szCs w:val="24"/>
                <w:shd w:val="clear" w:color="auto" w:fill="FFFFFF"/>
              </w:rPr>
            </w:pPr>
            <w:r>
              <w:rPr>
                <w:rFonts w:hint="eastAsia" w:ascii="宋体" w:hAnsi="宋体"/>
                <w:b/>
                <w:bCs/>
                <w:sz w:val="24"/>
                <w:szCs w:val="24"/>
                <w:highlight w:val="none"/>
              </w:rPr>
              <w:t>问题</w:t>
            </w:r>
            <w:r>
              <w:rPr>
                <w:rFonts w:hint="eastAsia" w:ascii="宋体" w:hAnsi="宋体"/>
                <w:b/>
                <w:bCs/>
                <w:sz w:val="24"/>
                <w:szCs w:val="24"/>
                <w:highlight w:val="none"/>
                <w:lang w:val="en-US" w:eastAsia="zh-CN"/>
              </w:rPr>
              <w:t>4</w:t>
            </w:r>
            <w:r>
              <w:rPr>
                <w:rFonts w:hint="eastAsia" w:ascii="宋体" w:hAnsi="宋体"/>
                <w:b/>
                <w:bCs/>
                <w:sz w:val="24"/>
                <w:szCs w:val="24"/>
                <w:highlight w:val="none"/>
              </w:rPr>
              <w:t>:李总，您好！福莱芯感作为公司柔性传感业务运营主体，请问该子公司整体业务布局方向是什么，是否开展传感器芯片相关研发工作？芯感一体方案在内部研发资源分配上如何规划？</w:t>
            </w:r>
          </w:p>
          <w:p w14:paraId="3F600709">
            <w:pPr>
              <w:autoSpaceDE w:val="0"/>
              <w:autoSpaceDN w:val="0"/>
              <w:adjustRightInd w:val="0"/>
              <w:spacing w:line="360" w:lineRule="auto"/>
              <w:ind w:firstLine="480" w:firstLineChars="200"/>
              <w:jc w:val="left"/>
              <w:rPr>
                <w:rFonts w:hint="eastAsia" w:ascii="宋体" w:hAnsi="宋体"/>
                <w:sz w:val="24"/>
                <w:szCs w:val="24"/>
              </w:rPr>
            </w:pPr>
            <w:r>
              <w:rPr>
                <w:rFonts w:hint="eastAsia" w:ascii="宋体" w:hAnsi="宋体"/>
                <w:sz w:val="24"/>
                <w:szCs w:val="24"/>
              </w:rPr>
              <w:t>答：尊敬的投资者，您好！为落实公司发展战略，加速技术迭代与产业化落地，公司全资子公司浙江福莱芯感科技股份有限公司作为新兴业务的核心运营载体，聚焦柔性传感的相关应用领域，推进产品迭代、客户验证及产业化相关工作。公司将根据业务实际发展情况统筹配置各项资源，若发生达到信息披露标准的重大进展，公司将严格按照监管要求及时履行信息披露义务。感谢您的关注！</w:t>
            </w:r>
          </w:p>
          <w:p w14:paraId="677262B2">
            <w:pPr>
              <w:spacing w:line="360" w:lineRule="auto"/>
              <w:ind w:firstLine="480" w:firstLineChars="200"/>
              <w:rPr>
                <w:rFonts w:hint="eastAsia" w:ascii="宋体" w:hAnsi="宋体"/>
                <w:sz w:val="24"/>
                <w:szCs w:val="24"/>
                <w:highlight w:val="none"/>
                <w:lang w:val="en-US" w:eastAsia="zh-CN"/>
              </w:rPr>
            </w:pPr>
          </w:p>
          <w:p w14:paraId="279B316A">
            <w:pPr>
              <w:autoSpaceDE w:val="0"/>
              <w:autoSpaceDN w:val="0"/>
              <w:adjustRightInd w:val="0"/>
              <w:spacing w:line="360" w:lineRule="auto"/>
              <w:ind w:firstLine="482" w:firstLineChars="200"/>
              <w:jc w:val="left"/>
              <w:rPr>
                <w:rFonts w:hint="eastAsia" w:ascii="宋体" w:hAnsi="宋体"/>
                <w:b/>
                <w:bCs/>
                <w:sz w:val="24"/>
                <w:szCs w:val="24"/>
                <w:shd w:val="clear" w:color="auto" w:fill="FFFFFF"/>
              </w:rPr>
            </w:pPr>
            <w:r>
              <w:rPr>
                <w:rFonts w:hint="eastAsia" w:ascii="宋体" w:hAnsi="宋体"/>
                <w:b/>
                <w:bCs/>
                <w:sz w:val="24"/>
                <w:szCs w:val="24"/>
                <w:shd w:val="clear" w:color="auto" w:fill="FFFFFF"/>
              </w:rPr>
              <w:t>问题</w:t>
            </w:r>
            <w:r>
              <w:rPr>
                <w:rFonts w:hint="eastAsia" w:ascii="宋体" w:hAnsi="宋体"/>
                <w:b/>
                <w:bCs/>
                <w:sz w:val="24"/>
                <w:szCs w:val="24"/>
                <w:shd w:val="clear" w:color="auto" w:fill="FFFFFF"/>
                <w:lang w:val="en-US" w:eastAsia="zh-CN"/>
              </w:rPr>
              <w:t>5</w:t>
            </w:r>
            <w:r>
              <w:rPr>
                <w:rFonts w:hint="eastAsia" w:ascii="宋体" w:hAnsi="宋体"/>
                <w:b/>
                <w:bCs/>
                <w:sz w:val="24"/>
                <w:szCs w:val="24"/>
                <w:shd w:val="clear" w:color="auto" w:fill="FFFFFF"/>
              </w:rPr>
              <w:t>：李总，您好！后续拓展柔性传感器应用场景方面，公司是否规划向商业航天、汽车、医疗等领域延伸布局？进入这类高门槛领域，需要完成哪些认证与客户验证工作？</w:t>
            </w:r>
          </w:p>
          <w:p w14:paraId="3C32DB69">
            <w:pPr>
              <w:spacing w:line="360" w:lineRule="auto"/>
              <w:ind w:firstLine="480" w:firstLineChars="200"/>
              <w:rPr>
                <w:rFonts w:hint="eastAsia" w:ascii="宋体" w:hAnsi="宋体"/>
                <w:sz w:val="24"/>
                <w:szCs w:val="24"/>
              </w:rPr>
            </w:pPr>
            <w:r>
              <w:rPr>
                <w:rFonts w:hint="eastAsia" w:ascii="宋体" w:hAnsi="宋体"/>
                <w:sz w:val="24"/>
                <w:szCs w:val="24"/>
              </w:rPr>
              <w:t>答：尊敬的投资者，您好！公司柔性传感业务现阶段重点聚焦四大主线：赋予</w:t>
            </w:r>
            <w:r>
              <w:rPr>
                <w:rFonts w:hint="eastAsia" w:ascii="宋体" w:hAnsi="宋体"/>
                <w:sz w:val="24"/>
                <w:szCs w:val="24"/>
                <w:lang w:val="en-US" w:eastAsia="zh-CN"/>
              </w:rPr>
              <w:t>灵巧手</w:t>
            </w:r>
            <w:r>
              <w:rPr>
                <w:rFonts w:hint="eastAsia" w:ascii="宋体" w:hAnsi="宋体"/>
                <w:sz w:val="24"/>
                <w:szCs w:val="24"/>
              </w:rPr>
              <w:t>灵敏触觉的触觉传感系统；服务精密制造的工业检测数字感压；覆盖电池全生命周期安全监测；重塑人机交互体验的智能交互感知，围绕以上方向陆续推进产品迭代、工艺固化与下游客户验证落地。感谢您的关注！</w:t>
            </w:r>
          </w:p>
          <w:p w14:paraId="281779ED">
            <w:pPr>
              <w:spacing w:line="360" w:lineRule="auto"/>
              <w:ind w:firstLine="480" w:firstLineChars="200"/>
              <w:rPr>
                <w:rFonts w:hint="eastAsia" w:ascii="宋体" w:hAnsi="宋体"/>
                <w:sz w:val="24"/>
                <w:szCs w:val="24"/>
              </w:rPr>
            </w:pPr>
          </w:p>
          <w:p w14:paraId="010C3DFE">
            <w:pPr>
              <w:autoSpaceDE w:val="0"/>
              <w:autoSpaceDN w:val="0"/>
              <w:adjustRightInd w:val="0"/>
              <w:spacing w:line="360" w:lineRule="auto"/>
              <w:ind w:firstLine="482" w:firstLineChars="200"/>
              <w:jc w:val="left"/>
              <w:rPr>
                <w:rFonts w:hint="eastAsia" w:ascii="宋体" w:hAnsi="宋体"/>
                <w:b/>
                <w:bCs/>
                <w:sz w:val="24"/>
                <w:szCs w:val="24"/>
                <w:shd w:val="clear" w:color="auto" w:fill="FFFFFF"/>
              </w:rPr>
            </w:pPr>
            <w:r>
              <w:rPr>
                <w:rFonts w:hint="eastAsia" w:ascii="宋体" w:hAnsi="宋体"/>
                <w:b/>
                <w:bCs/>
                <w:sz w:val="24"/>
                <w:szCs w:val="24"/>
                <w:shd w:val="clear" w:color="auto" w:fill="FFFFFF"/>
              </w:rPr>
              <w:t>问题</w:t>
            </w:r>
            <w:r>
              <w:rPr>
                <w:rFonts w:hint="eastAsia" w:ascii="宋体" w:hAnsi="宋体"/>
                <w:b/>
                <w:bCs/>
                <w:sz w:val="24"/>
                <w:szCs w:val="24"/>
                <w:shd w:val="clear" w:color="auto" w:fill="FFFFFF"/>
                <w:lang w:val="en-US" w:eastAsia="zh-CN"/>
              </w:rPr>
              <w:t>6</w:t>
            </w:r>
            <w:r>
              <w:rPr>
                <w:rFonts w:hint="eastAsia" w:ascii="宋体" w:hAnsi="宋体"/>
                <w:b/>
                <w:bCs/>
                <w:sz w:val="24"/>
                <w:szCs w:val="24"/>
                <w:shd w:val="clear" w:color="auto" w:fill="FFFFFF"/>
              </w:rPr>
              <w:t>：请问公司柔性传感器的主要竞争对手有哪些？公司的柔性传感器产品具有哪些优势？</w:t>
            </w:r>
          </w:p>
          <w:p w14:paraId="7BF4D7F3">
            <w:pPr>
              <w:spacing w:line="360" w:lineRule="auto"/>
              <w:ind w:firstLine="480" w:firstLineChars="200"/>
              <w:rPr>
                <w:rFonts w:hint="eastAsia" w:ascii="宋体" w:hAnsi="宋体"/>
                <w:sz w:val="24"/>
                <w:szCs w:val="24"/>
                <w:lang w:eastAsia="zh-CN"/>
              </w:rPr>
            </w:pPr>
            <w:r>
              <w:rPr>
                <w:rFonts w:hint="eastAsia" w:ascii="宋体" w:hAnsi="宋体"/>
                <w:sz w:val="24"/>
                <w:szCs w:val="24"/>
              </w:rPr>
              <w:t>答</w:t>
            </w:r>
            <w:r>
              <w:rPr>
                <w:rFonts w:hint="eastAsia" w:ascii="宋体" w:hAnsi="宋体"/>
                <w:sz w:val="24"/>
                <w:szCs w:val="24"/>
                <w:lang w:eastAsia="zh-CN"/>
              </w:rPr>
              <w:t>：尊敬的投资者，您好！柔性触觉传感是新兴赛道，市场上有多种技术路线布局，行业格局尚在演化。公司柔性传感业务依托材料、器件、系统协同开发，拥有多路线专利技术储备，可提供多模态感知软硬件一体化方案。目前已具备批量交付能力，并与国内外多家头部客户展开合作。该业务目前营收占比不高，产业化落地存在不确定性，敬请关注公司公告，注意投资风险。感谢您的关注！</w:t>
            </w:r>
          </w:p>
          <w:p w14:paraId="0BA59225">
            <w:pPr>
              <w:spacing w:line="360" w:lineRule="auto"/>
              <w:ind w:firstLine="482" w:firstLineChars="200"/>
              <w:rPr>
                <w:rFonts w:hint="eastAsia" w:ascii="宋体" w:hAnsi="宋体"/>
                <w:b/>
                <w:bCs/>
                <w:sz w:val="24"/>
                <w:szCs w:val="24"/>
                <w:shd w:val="clear" w:color="auto" w:fill="FFFFFF"/>
              </w:rPr>
            </w:pPr>
          </w:p>
          <w:p w14:paraId="6E52E066">
            <w:pPr>
              <w:spacing w:line="360" w:lineRule="auto"/>
              <w:ind w:firstLine="482" w:firstLineChars="200"/>
              <w:rPr>
                <w:rFonts w:hint="eastAsia" w:ascii="宋体" w:hAnsi="宋体"/>
                <w:b/>
                <w:bCs/>
                <w:sz w:val="24"/>
                <w:szCs w:val="24"/>
                <w:shd w:val="clear" w:color="auto" w:fill="FFFFFF"/>
              </w:rPr>
            </w:pPr>
            <w:r>
              <w:rPr>
                <w:rFonts w:hint="eastAsia" w:ascii="宋体" w:hAnsi="宋体"/>
                <w:b/>
                <w:bCs/>
                <w:sz w:val="24"/>
                <w:szCs w:val="24"/>
                <w:shd w:val="clear" w:color="auto" w:fill="FFFFFF"/>
              </w:rPr>
              <w:t>问题</w:t>
            </w:r>
            <w:r>
              <w:rPr>
                <w:rFonts w:hint="eastAsia" w:ascii="宋体" w:hAnsi="宋体"/>
                <w:b/>
                <w:bCs/>
                <w:sz w:val="24"/>
                <w:szCs w:val="24"/>
                <w:shd w:val="clear" w:color="auto" w:fill="FFFFFF"/>
                <w:lang w:val="en-US" w:eastAsia="zh-CN"/>
              </w:rPr>
              <w:t>7</w:t>
            </w:r>
            <w:r>
              <w:rPr>
                <w:rFonts w:hint="eastAsia" w:ascii="宋体" w:hAnsi="宋体"/>
                <w:b/>
                <w:bCs/>
                <w:sz w:val="24"/>
                <w:szCs w:val="24"/>
                <w:shd w:val="clear" w:color="auto" w:fill="FFFFFF"/>
              </w:rPr>
              <w:t>：尊敬的董秘及管理层，您好。本人持有"福新转债"，关注公司经营与偿债能力，已阅读 2025 年报、2026 半年报及相关债券跟踪评级报告。现请教四个问题： 一、公司 7 月公告不提前赎回"福新转债"，请问后续对转债赎回的整体考量及推动转股的安排？ 二、2025 年报提到家居烫画膜已推出全系列产品，家居装饰材料系广告喷墨打印材料工艺上的延伸，涵盖数码烫印等领域；跟踪评级报告显示 2025 年末广告喷墨打印材料年产能 102,794.40 万平方米、产能利用率 91.01%。请问：数码烫印目前对收入的贡献程度如何？未来两年是否需要在现有产能之外新增资本开支或单独扩产？ 三、2026 上半年广告喷墨打印材料板块收入 6.69 亿元、毛利率 16.07%。请问数码烫印的毛利率与该板块相比是高于、接近还是低于？是否呈逐季改善趋势？是否已实现单品盈亏平衡？ 四、2026 上半年公司综合毛利率 13.89%，原材料占成本比重较高，烟台基地已初步完成基膜—胶水—涂布一体化。请问 PET 类薄膜价格波动对毛利率的影响程度如何？是否已通过长协、集采或一体化平抑成本波动？对下半年原材料成本走势作何判断？ 谢谢</w:t>
            </w:r>
          </w:p>
          <w:p w14:paraId="7D6E7CD5">
            <w:pPr>
              <w:spacing w:line="360" w:lineRule="auto"/>
              <w:ind w:firstLine="480" w:firstLineChars="200"/>
              <w:rPr>
                <w:rFonts w:hint="eastAsia" w:ascii="宋体" w:hAnsi="宋体" w:eastAsia="宋体"/>
                <w:b/>
                <w:bCs/>
                <w:sz w:val="24"/>
                <w:szCs w:val="24"/>
                <w:shd w:val="clear" w:color="auto" w:fill="FFFFFF"/>
                <w:lang w:val="en-US" w:eastAsia="zh-CN"/>
              </w:rPr>
            </w:pPr>
            <w:r>
              <w:rPr>
                <w:rFonts w:hint="eastAsia" w:ascii="宋体" w:hAnsi="宋体"/>
                <w:sz w:val="24"/>
                <w:szCs w:val="24"/>
              </w:rPr>
              <w:t>答</w:t>
            </w:r>
            <w:r>
              <w:rPr>
                <w:rFonts w:hint="eastAsia" w:ascii="宋体" w:hAnsi="宋体"/>
                <w:sz w:val="24"/>
                <w:szCs w:val="24"/>
                <w:lang w:eastAsia="zh-CN"/>
              </w:rPr>
              <w:t>：尊敬的投资者，您好！感谢您对福新转债及公司经营的关注，具体回复如下：一、福新转债当前存续余额较低，累计转股比例已超三分之二。现阶段主要依托市场机制，实现剩余份额市场化消化，如达到相关披露要求公司将及时公告。二、数码烫印业务近年成长较快，相关产能建设属于可转债募投项目，公司将根据市场订单实际情况灵活调配产线，审慎评估资本开支与扩产计划。 三、数码烫印业务毛利率高于传统业务，伴随工艺优化与规模化逐步释放效益。四、公司通过产业链一体化布局，有助于平滑部分材料成本波动，同时采用相应的采购策略对冲成本风险。原材料价格受多重外部因素影响，走势具备不确定性，公司将持续跟踪并动态调整采购及生产安排。感谢您的关注！</w:t>
            </w:r>
            <w:bookmarkStart w:id="0" w:name="_GoBack"/>
            <w:bookmarkEnd w:id="0"/>
          </w:p>
        </w:tc>
      </w:tr>
      <w:tr w14:paraId="5B6A8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5" w:type="dxa"/>
            <w:vAlign w:val="center"/>
          </w:tcPr>
          <w:p w14:paraId="3AAD239C">
            <w:pPr>
              <w:spacing w:line="360" w:lineRule="auto"/>
              <w:jc w:val="left"/>
              <w:rPr>
                <w:rFonts w:hint="eastAsia" w:ascii="宋体" w:hAnsi="宋体" w:cs="Times New Roman"/>
                <w:b/>
                <w:bCs/>
                <w:iCs/>
                <w:sz w:val="24"/>
                <w:szCs w:val="24"/>
              </w:rPr>
            </w:pPr>
            <w:r>
              <w:rPr>
                <w:rFonts w:hint="eastAsia" w:ascii="宋体" w:hAnsi="宋体" w:cs="Times New Roman"/>
                <w:b/>
                <w:bCs/>
                <w:iCs/>
                <w:sz w:val="24"/>
                <w:szCs w:val="24"/>
              </w:rPr>
              <w:t>附件清单（如有）</w:t>
            </w:r>
          </w:p>
        </w:tc>
        <w:tc>
          <w:tcPr>
            <w:tcW w:w="7258" w:type="dxa"/>
          </w:tcPr>
          <w:p w14:paraId="1F3BFD21">
            <w:pPr>
              <w:spacing w:line="360" w:lineRule="auto"/>
              <w:rPr>
                <w:rFonts w:hint="eastAsia" w:ascii="宋体" w:hAnsi="宋体" w:cs="Times New Roman"/>
                <w:bCs/>
                <w:iCs/>
                <w:sz w:val="24"/>
                <w:szCs w:val="24"/>
              </w:rPr>
            </w:pPr>
            <w:r>
              <w:rPr>
                <w:rFonts w:hint="eastAsia" w:ascii="宋体" w:hAnsi="宋体" w:cs="Times New Roman"/>
                <w:bCs/>
                <w:iCs/>
                <w:sz w:val="24"/>
                <w:szCs w:val="24"/>
              </w:rPr>
              <w:t>无</w:t>
            </w:r>
          </w:p>
        </w:tc>
      </w:tr>
      <w:tr w14:paraId="10C79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5" w:type="dxa"/>
            <w:vAlign w:val="center"/>
          </w:tcPr>
          <w:p w14:paraId="3D5C0478">
            <w:pPr>
              <w:spacing w:line="360" w:lineRule="auto"/>
              <w:jc w:val="left"/>
              <w:rPr>
                <w:rFonts w:hint="eastAsia" w:ascii="宋体" w:hAnsi="宋体" w:cs="Times New Roman"/>
                <w:b/>
                <w:bCs/>
                <w:iCs/>
                <w:sz w:val="24"/>
                <w:szCs w:val="24"/>
              </w:rPr>
            </w:pPr>
            <w:r>
              <w:rPr>
                <w:rFonts w:hint="eastAsia" w:ascii="宋体" w:hAnsi="宋体" w:cs="Times New Roman"/>
                <w:b/>
                <w:bCs/>
                <w:iCs/>
                <w:sz w:val="24"/>
                <w:szCs w:val="24"/>
              </w:rPr>
              <w:t>日期</w:t>
            </w:r>
          </w:p>
        </w:tc>
        <w:tc>
          <w:tcPr>
            <w:tcW w:w="7258" w:type="dxa"/>
            <w:vAlign w:val="center"/>
          </w:tcPr>
          <w:p w14:paraId="004702D0">
            <w:pPr>
              <w:spacing w:line="360" w:lineRule="auto"/>
              <w:rPr>
                <w:rFonts w:hint="eastAsia" w:ascii="宋体" w:hAnsi="宋体" w:cs="Times New Roman"/>
                <w:bCs/>
                <w:iCs/>
                <w:sz w:val="24"/>
                <w:szCs w:val="24"/>
              </w:rPr>
            </w:pPr>
            <w:r>
              <w:rPr>
                <w:rFonts w:hint="eastAsia" w:ascii="宋体" w:hAnsi="宋体" w:cs="Times New Roman"/>
                <w:iCs/>
                <w:sz w:val="24"/>
                <w:szCs w:val="24"/>
              </w:rPr>
              <w:t>2</w:t>
            </w:r>
            <w:r>
              <w:rPr>
                <w:rFonts w:ascii="宋体" w:hAnsi="宋体" w:cs="Times New Roman"/>
                <w:iCs/>
                <w:sz w:val="24"/>
                <w:szCs w:val="24"/>
              </w:rPr>
              <w:t>02</w:t>
            </w:r>
            <w:r>
              <w:rPr>
                <w:rFonts w:hint="eastAsia" w:ascii="宋体" w:hAnsi="宋体" w:cs="Times New Roman"/>
                <w:iCs/>
                <w:sz w:val="24"/>
                <w:szCs w:val="24"/>
                <w:lang w:val="en-US" w:eastAsia="zh-CN"/>
              </w:rPr>
              <w:t>6</w:t>
            </w:r>
            <w:r>
              <w:rPr>
                <w:rFonts w:hint="eastAsia" w:ascii="宋体" w:hAnsi="宋体" w:cs="Times New Roman"/>
                <w:iCs/>
                <w:sz w:val="24"/>
                <w:szCs w:val="24"/>
              </w:rPr>
              <w:t>年</w:t>
            </w:r>
            <w:r>
              <w:rPr>
                <w:rFonts w:hint="eastAsia" w:ascii="宋体" w:hAnsi="宋体" w:cs="Times New Roman"/>
                <w:iCs/>
                <w:sz w:val="24"/>
                <w:szCs w:val="24"/>
                <w:lang w:val="en-US" w:eastAsia="zh-CN"/>
              </w:rPr>
              <w:t>09</w:t>
            </w:r>
            <w:r>
              <w:rPr>
                <w:rFonts w:hint="eastAsia" w:ascii="宋体" w:hAnsi="宋体" w:cs="Times New Roman"/>
                <w:iCs/>
                <w:sz w:val="24"/>
                <w:szCs w:val="24"/>
              </w:rPr>
              <w:t>月</w:t>
            </w:r>
            <w:r>
              <w:rPr>
                <w:rFonts w:hint="eastAsia" w:ascii="宋体" w:hAnsi="宋体" w:cs="Times New Roman"/>
                <w:iCs/>
                <w:sz w:val="24"/>
                <w:szCs w:val="24"/>
                <w:lang w:val="en-US" w:eastAsia="zh-CN"/>
              </w:rPr>
              <w:t>24</w:t>
            </w:r>
            <w:r>
              <w:rPr>
                <w:rFonts w:hint="eastAsia" w:ascii="宋体" w:hAnsi="宋体" w:cs="Times New Roman"/>
                <w:iCs/>
                <w:sz w:val="24"/>
                <w:szCs w:val="24"/>
              </w:rPr>
              <w:t>日</w:t>
            </w:r>
          </w:p>
        </w:tc>
      </w:tr>
    </w:tbl>
    <w:p w14:paraId="0EDD61E9">
      <w:pPr>
        <w:rPr>
          <w:rFonts w:hint="eastAsia" w:ascii="宋体" w:hAnsi="宋体" w:cs="Times New Roman"/>
          <w:bCs/>
          <w:iCs/>
          <w:sz w:val="24"/>
          <w:szCs w:val="24"/>
        </w:rPr>
      </w:pPr>
    </w:p>
    <w:sectPr>
      <w:footerReference r:id="rId3" w:type="default"/>
      <w:pgSz w:w="11906" w:h="16838"/>
      <w:pgMar w:top="1423" w:right="1797" w:bottom="1423"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D3684">
    <w:pPr>
      <w:pStyle w:val="6"/>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5</w:t>
    </w:r>
    <w:r>
      <w:rPr>
        <w:rFonts w:ascii="Times New Roman" w:hAnsi="Times New Roman" w:cs="Times New Roman"/>
      </w:rPr>
      <w:fldChar w:fldCharType="end"/>
    </w:r>
  </w:p>
  <w:p w14:paraId="44C14C28">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RkMzAwMzhhZDYyNTY3OTUxNjEwODFlNjI5MjZiN2EifQ=="/>
    <w:docVar w:name="KSO_WPS_MARK_KEY" w:val="a3834838-84a0-4bf6-b69f-5593973aeb9b"/>
  </w:docVars>
  <w:rsids>
    <w:rsidRoot w:val="00B94C50"/>
    <w:rsid w:val="00003748"/>
    <w:rsid w:val="0001008A"/>
    <w:rsid w:val="00011A35"/>
    <w:rsid w:val="00012CDE"/>
    <w:rsid w:val="00036C4A"/>
    <w:rsid w:val="00041F2D"/>
    <w:rsid w:val="00053FE2"/>
    <w:rsid w:val="00055095"/>
    <w:rsid w:val="00066D8C"/>
    <w:rsid w:val="00072A65"/>
    <w:rsid w:val="00077E56"/>
    <w:rsid w:val="00081ECA"/>
    <w:rsid w:val="000876A5"/>
    <w:rsid w:val="00093543"/>
    <w:rsid w:val="00097F1A"/>
    <w:rsid w:val="000A21E9"/>
    <w:rsid w:val="000A5C1D"/>
    <w:rsid w:val="000E3873"/>
    <w:rsid w:val="000F18CD"/>
    <w:rsid w:val="000F2B33"/>
    <w:rsid w:val="001027EC"/>
    <w:rsid w:val="00110519"/>
    <w:rsid w:val="001155CE"/>
    <w:rsid w:val="001262CD"/>
    <w:rsid w:val="00133492"/>
    <w:rsid w:val="00135C30"/>
    <w:rsid w:val="0015063C"/>
    <w:rsid w:val="00152466"/>
    <w:rsid w:val="001650B3"/>
    <w:rsid w:val="001932D3"/>
    <w:rsid w:val="00194DD7"/>
    <w:rsid w:val="001B226E"/>
    <w:rsid w:val="001B723D"/>
    <w:rsid w:val="001C25B7"/>
    <w:rsid w:val="001C3439"/>
    <w:rsid w:val="001D51C8"/>
    <w:rsid w:val="001E3615"/>
    <w:rsid w:val="001E785A"/>
    <w:rsid w:val="001F483F"/>
    <w:rsid w:val="00210EF3"/>
    <w:rsid w:val="00211462"/>
    <w:rsid w:val="00223643"/>
    <w:rsid w:val="0022572C"/>
    <w:rsid w:val="002262EF"/>
    <w:rsid w:val="00236703"/>
    <w:rsid w:val="00257959"/>
    <w:rsid w:val="00260367"/>
    <w:rsid w:val="00264D8F"/>
    <w:rsid w:val="002749EB"/>
    <w:rsid w:val="0029143C"/>
    <w:rsid w:val="00296348"/>
    <w:rsid w:val="002966A7"/>
    <w:rsid w:val="002967BA"/>
    <w:rsid w:val="002A190A"/>
    <w:rsid w:val="002A304B"/>
    <w:rsid w:val="002A4005"/>
    <w:rsid w:val="002B6F54"/>
    <w:rsid w:val="002C76A1"/>
    <w:rsid w:val="002D2021"/>
    <w:rsid w:val="002E0686"/>
    <w:rsid w:val="002E7286"/>
    <w:rsid w:val="002E77CF"/>
    <w:rsid w:val="002F4770"/>
    <w:rsid w:val="00303CC6"/>
    <w:rsid w:val="00303CCD"/>
    <w:rsid w:val="0031181B"/>
    <w:rsid w:val="00313E36"/>
    <w:rsid w:val="00313FDF"/>
    <w:rsid w:val="003170A5"/>
    <w:rsid w:val="00331410"/>
    <w:rsid w:val="00342698"/>
    <w:rsid w:val="003624C5"/>
    <w:rsid w:val="00367347"/>
    <w:rsid w:val="00381804"/>
    <w:rsid w:val="003830BB"/>
    <w:rsid w:val="0038451C"/>
    <w:rsid w:val="00391CED"/>
    <w:rsid w:val="003A3053"/>
    <w:rsid w:val="003A4281"/>
    <w:rsid w:val="003B147C"/>
    <w:rsid w:val="003B64D5"/>
    <w:rsid w:val="003C624C"/>
    <w:rsid w:val="003D5E84"/>
    <w:rsid w:val="003F079D"/>
    <w:rsid w:val="00405713"/>
    <w:rsid w:val="00410009"/>
    <w:rsid w:val="00444385"/>
    <w:rsid w:val="00450E98"/>
    <w:rsid w:val="00452D25"/>
    <w:rsid w:val="00470A66"/>
    <w:rsid w:val="00471EF8"/>
    <w:rsid w:val="00480B17"/>
    <w:rsid w:val="004872DA"/>
    <w:rsid w:val="00495CD1"/>
    <w:rsid w:val="004B2FE2"/>
    <w:rsid w:val="004B7BB2"/>
    <w:rsid w:val="004E066D"/>
    <w:rsid w:val="00513934"/>
    <w:rsid w:val="005232AF"/>
    <w:rsid w:val="00531F67"/>
    <w:rsid w:val="00536D2D"/>
    <w:rsid w:val="00550E69"/>
    <w:rsid w:val="00552152"/>
    <w:rsid w:val="00570D0D"/>
    <w:rsid w:val="00571B62"/>
    <w:rsid w:val="005A058C"/>
    <w:rsid w:val="005A1A68"/>
    <w:rsid w:val="005A6F19"/>
    <w:rsid w:val="005B485C"/>
    <w:rsid w:val="005B7E57"/>
    <w:rsid w:val="005D0541"/>
    <w:rsid w:val="005D0BFA"/>
    <w:rsid w:val="005E0EAD"/>
    <w:rsid w:val="005E1EC7"/>
    <w:rsid w:val="005E5E91"/>
    <w:rsid w:val="005F6276"/>
    <w:rsid w:val="00603FAB"/>
    <w:rsid w:val="00623FB8"/>
    <w:rsid w:val="006250F6"/>
    <w:rsid w:val="00627306"/>
    <w:rsid w:val="00631E88"/>
    <w:rsid w:val="00641283"/>
    <w:rsid w:val="00652BE2"/>
    <w:rsid w:val="006552AA"/>
    <w:rsid w:val="00683F46"/>
    <w:rsid w:val="00691EAA"/>
    <w:rsid w:val="006B56B9"/>
    <w:rsid w:val="006D1272"/>
    <w:rsid w:val="00707369"/>
    <w:rsid w:val="007331A8"/>
    <w:rsid w:val="007351A7"/>
    <w:rsid w:val="00740827"/>
    <w:rsid w:val="0074154F"/>
    <w:rsid w:val="0076184D"/>
    <w:rsid w:val="00794D10"/>
    <w:rsid w:val="0079774C"/>
    <w:rsid w:val="00797DF6"/>
    <w:rsid w:val="007A24B2"/>
    <w:rsid w:val="007A46C4"/>
    <w:rsid w:val="007A6470"/>
    <w:rsid w:val="007B3E5C"/>
    <w:rsid w:val="007C1647"/>
    <w:rsid w:val="007C1AF9"/>
    <w:rsid w:val="007C29A9"/>
    <w:rsid w:val="007D38C7"/>
    <w:rsid w:val="007E2F10"/>
    <w:rsid w:val="007F4F77"/>
    <w:rsid w:val="00810A63"/>
    <w:rsid w:val="00821EF1"/>
    <w:rsid w:val="00823548"/>
    <w:rsid w:val="00863CF2"/>
    <w:rsid w:val="00864348"/>
    <w:rsid w:val="008714C9"/>
    <w:rsid w:val="00882563"/>
    <w:rsid w:val="00883806"/>
    <w:rsid w:val="0089482B"/>
    <w:rsid w:val="008C1FCD"/>
    <w:rsid w:val="008D4393"/>
    <w:rsid w:val="008D46FC"/>
    <w:rsid w:val="008D4D59"/>
    <w:rsid w:val="008D54A7"/>
    <w:rsid w:val="008D57F5"/>
    <w:rsid w:val="008D65B6"/>
    <w:rsid w:val="008E10C6"/>
    <w:rsid w:val="008E1FBC"/>
    <w:rsid w:val="008F04C1"/>
    <w:rsid w:val="008F7CAC"/>
    <w:rsid w:val="008F7D92"/>
    <w:rsid w:val="0090427B"/>
    <w:rsid w:val="009102EE"/>
    <w:rsid w:val="00922BB9"/>
    <w:rsid w:val="00924B6A"/>
    <w:rsid w:val="009275E0"/>
    <w:rsid w:val="0093064C"/>
    <w:rsid w:val="00936887"/>
    <w:rsid w:val="00955AA1"/>
    <w:rsid w:val="00960FDD"/>
    <w:rsid w:val="00963DB3"/>
    <w:rsid w:val="00966EC4"/>
    <w:rsid w:val="00975426"/>
    <w:rsid w:val="00976C58"/>
    <w:rsid w:val="00977B1E"/>
    <w:rsid w:val="00982F95"/>
    <w:rsid w:val="0098657E"/>
    <w:rsid w:val="00991702"/>
    <w:rsid w:val="00993BBB"/>
    <w:rsid w:val="009A1AAC"/>
    <w:rsid w:val="009C3C32"/>
    <w:rsid w:val="009E4C7E"/>
    <w:rsid w:val="009F1591"/>
    <w:rsid w:val="009F2F1E"/>
    <w:rsid w:val="00A02EED"/>
    <w:rsid w:val="00A141CB"/>
    <w:rsid w:val="00A174A3"/>
    <w:rsid w:val="00A3359D"/>
    <w:rsid w:val="00A4039C"/>
    <w:rsid w:val="00A40990"/>
    <w:rsid w:val="00A60456"/>
    <w:rsid w:val="00A647D6"/>
    <w:rsid w:val="00A71746"/>
    <w:rsid w:val="00A72139"/>
    <w:rsid w:val="00A72F96"/>
    <w:rsid w:val="00A73927"/>
    <w:rsid w:val="00A73BC9"/>
    <w:rsid w:val="00A759E6"/>
    <w:rsid w:val="00A83E12"/>
    <w:rsid w:val="00A9065C"/>
    <w:rsid w:val="00A9202F"/>
    <w:rsid w:val="00A9477C"/>
    <w:rsid w:val="00A97D40"/>
    <w:rsid w:val="00AA3AE9"/>
    <w:rsid w:val="00AA471B"/>
    <w:rsid w:val="00AA5FDC"/>
    <w:rsid w:val="00AC284C"/>
    <w:rsid w:val="00AE58C7"/>
    <w:rsid w:val="00B17990"/>
    <w:rsid w:val="00B42E27"/>
    <w:rsid w:val="00B509FA"/>
    <w:rsid w:val="00B607A5"/>
    <w:rsid w:val="00B65A08"/>
    <w:rsid w:val="00B73F72"/>
    <w:rsid w:val="00B94C50"/>
    <w:rsid w:val="00BA65BA"/>
    <w:rsid w:val="00BB0166"/>
    <w:rsid w:val="00BB61DA"/>
    <w:rsid w:val="00BC4B0B"/>
    <w:rsid w:val="00BD3C0D"/>
    <w:rsid w:val="00BD7A3D"/>
    <w:rsid w:val="00BF3DBF"/>
    <w:rsid w:val="00C2004A"/>
    <w:rsid w:val="00C35F09"/>
    <w:rsid w:val="00C45567"/>
    <w:rsid w:val="00C46E27"/>
    <w:rsid w:val="00C50989"/>
    <w:rsid w:val="00C517FD"/>
    <w:rsid w:val="00C74AAE"/>
    <w:rsid w:val="00C8255E"/>
    <w:rsid w:val="00C9091C"/>
    <w:rsid w:val="00CA1F01"/>
    <w:rsid w:val="00CA7B61"/>
    <w:rsid w:val="00CC4AB9"/>
    <w:rsid w:val="00CC783F"/>
    <w:rsid w:val="00CD36E1"/>
    <w:rsid w:val="00CD79DA"/>
    <w:rsid w:val="00CE08DF"/>
    <w:rsid w:val="00CE55C1"/>
    <w:rsid w:val="00D161EF"/>
    <w:rsid w:val="00D31AE6"/>
    <w:rsid w:val="00D33AA9"/>
    <w:rsid w:val="00D3622A"/>
    <w:rsid w:val="00D41DEE"/>
    <w:rsid w:val="00D4479B"/>
    <w:rsid w:val="00D4484D"/>
    <w:rsid w:val="00D628FD"/>
    <w:rsid w:val="00D64015"/>
    <w:rsid w:val="00D64311"/>
    <w:rsid w:val="00D64ED9"/>
    <w:rsid w:val="00D810B1"/>
    <w:rsid w:val="00D83847"/>
    <w:rsid w:val="00D8532D"/>
    <w:rsid w:val="00DC35D0"/>
    <w:rsid w:val="00DC6C67"/>
    <w:rsid w:val="00DE668C"/>
    <w:rsid w:val="00DE6A16"/>
    <w:rsid w:val="00DF18B7"/>
    <w:rsid w:val="00E00BF7"/>
    <w:rsid w:val="00E01542"/>
    <w:rsid w:val="00E16FD5"/>
    <w:rsid w:val="00E236DD"/>
    <w:rsid w:val="00E559A2"/>
    <w:rsid w:val="00E6169F"/>
    <w:rsid w:val="00E62792"/>
    <w:rsid w:val="00E71446"/>
    <w:rsid w:val="00E72D28"/>
    <w:rsid w:val="00EE7642"/>
    <w:rsid w:val="00EF1FD5"/>
    <w:rsid w:val="00F0408B"/>
    <w:rsid w:val="00F057E9"/>
    <w:rsid w:val="00F14C92"/>
    <w:rsid w:val="00F1676A"/>
    <w:rsid w:val="00F16DD6"/>
    <w:rsid w:val="00F24524"/>
    <w:rsid w:val="00F3509A"/>
    <w:rsid w:val="00F469EE"/>
    <w:rsid w:val="00F5164C"/>
    <w:rsid w:val="00F56FC3"/>
    <w:rsid w:val="00F614D1"/>
    <w:rsid w:val="00F838D5"/>
    <w:rsid w:val="00F9730F"/>
    <w:rsid w:val="00F97689"/>
    <w:rsid w:val="00FB523C"/>
    <w:rsid w:val="00FC7F15"/>
    <w:rsid w:val="00FD0592"/>
    <w:rsid w:val="00FD437A"/>
    <w:rsid w:val="00FE6AE3"/>
    <w:rsid w:val="01066A48"/>
    <w:rsid w:val="016B451C"/>
    <w:rsid w:val="02117D9A"/>
    <w:rsid w:val="02527DA9"/>
    <w:rsid w:val="02CD7EE2"/>
    <w:rsid w:val="03081801"/>
    <w:rsid w:val="03113F7F"/>
    <w:rsid w:val="03744E62"/>
    <w:rsid w:val="03F400FF"/>
    <w:rsid w:val="044D5B72"/>
    <w:rsid w:val="05613AD2"/>
    <w:rsid w:val="05AA7D89"/>
    <w:rsid w:val="05E03D0C"/>
    <w:rsid w:val="0669325F"/>
    <w:rsid w:val="06ED43D6"/>
    <w:rsid w:val="07E40CF7"/>
    <w:rsid w:val="0A0330D1"/>
    <w:rsid w:val="0A147F4C"/>
    <w:rsid w:val="0A9E3E01"/>
    <w:rsid w:val="0B257148"/>
    <w:rsid w:val="0D556D8D"/>
    <w:rsid w:val="0DA07645"/>
    <w:rsid w:val="0DA91EF6"/>
    <w:rsid w:val="0DEF71E2"/>
    <w:rsid w:val="10A41E19"/>
    <w:rsid w:val="10B97633"/>
    <w:rsid w:val="10DC5535"/>
    <w:rsid w:val="11466EEB"/>
    <w:rsid w:val="124D4798"/>
    <w:rsid w:val="126B1215"/>
    <w:rsid w:val="126B3346"/>
    <w:rsid w:val="12A372EC"/>
    <w:rsid w:val="12B01E3A"/>
    <w:rsid w:val="13117313"/>
    <w:rsid w:val="13294F44"/>
    <w:rsid w:val="14706840"/>
    <w:rsid w:val="14944D78"/>
    <w:rsid w:val="14A70815"/>
    <w:rsid w:val="15873613"/>
    <w:rsid w:val="15B825AF"/>
    <w:rsid w:val="15BB3E4D"/>
    <w:rsid w:val="161F618A"/>
    <w:rsid w:val="169A5732"/>
    <w:rsid w:val="17F00434"/>
    <w:rsid w:val="18F07A15"/>
    <w:rsid w:val="18F457BB"/>
    <w:rsid w:val="193E2DCB"/>
    <w:rsid w:val="197D37E5"/>
    <w:rsid w:val="1AE259D8"/>
    <w:rsid w:val="1C5E4EFC"/>
    <w:rsid w:val="1C8C4A6C"/>
    <w:rsid w:val="1E164317"/>
    <w:rsid w:val="1E1D01DB"/>
    <w:rsid w:val="1EF67432"/>
    <w:rsid w:val="1F1351E9"/>
    <w:rsid w:val="1FF666E7"/>
    <w:rsid w:val="20205F43"/>
    <w:rsid w:val="20E97AC1"/>
    <w:rsid w:val="21115269"/>
    <w:rsid w:val="21E03659"/>
    <w:rsid w:val="228F4698"/>
    <w:rsid w:val="22F61C41"/>
    <w:rsid w:val="24B0459D"/>
    <w:rsid w:val="25F9650B"/>
    <w:rsid w:val="263F0183"/>
    <w:rsid w:val="27156A7C"/>
    <w:rsid w:val="27602DE7"/>
    <w:rsid w:val="27781B9E"/>
    <w:rsid w:val="27D422BB"/>
    <w:rsid w:val="28F2481C"/>
    <w:rsid w:val="29813E2D"/>
    <w:rsid w:val="2A261CBC"/>
    <w:rsid w:val="2A497822"/>
    <w:rsid w:val="2A7412A2"/>
    <w:rsid w:val="2A90243D"/>
    <w:rsid w:val="2B067F68"/>
    <w:rsid w:val="2B283656"/>
    <w:rsid w:val="2C6A3498"/>
    <w:rsid w:val="2CE92A50"/>
    <w:rsid w:val="2D284BB4"/>
    <w:rsid w:val="2D407F4C"/>
    <w:rsid w:val="2D55028C"/>
    <w:rsid w:val="2E7B0CA3"/>
    <w:rsid w:val="2F49728F"/>
    <w:rsid w:val="30793384"/>
    <w:rsid w:val="30EA2FB7"/>
    <w:rsid w:val="336E7556"/>
    <w:rsid w:val="33B522B9"/>
    <w:rsid w:val="33D82DC4"/>
    <w:rsid w:val="35A973C7"/>
    <w:rsid w:val="35BD40AB"/>
    <w:rsid w:val="35F37727"/>
    <w:rsid w:val="36F741C0"/>
    <w:rsid w:val="377C3728"/>
    <w:rsid w:val="37CD3A20"/>
    <w:rsid w:val="37F406F2"/>
    <w:rsid w:val="38ED6BF3"/>
    <w:rsid w:val="391021AE"/>
    <w:rsid w:val="394109C9"/>
    <w:rsid w:val="3AF107ED"/>
    <w:rsid w:val="3B7F1712"/>
    <w:rsid w:val="3C454A78"/>
    <w:rsid w:val="3CE82ECA"/>
    <w:rsid w:val="3E831D97"/>
    <w:rsid w:val="3EC7747B"/>
    <w:rsid w:val="3F5B7E6D"/>
    <w:rsid w:val="3F7D2814"/>
    <w:rsid w:val="3FDE0FDB"/>
    <w:rsid w:val="3FFD3AD5"/>
    <w:rsid w:val="40FB736C"/>
    <w:rsid w:val="414A30E4"/>
    <w:rsid w:val="41856FE0"/>
    <w:rsid w:val="418C3EED"/>
    <w:rsid w:val="419D38A3"/>
    <w:rsid w:val="427F7E2D"/>
    <w:rsid w:val="42A46591"/>
    <w:rsid w:val="430F7403"/>
    <w:rsid w:val="442D7B2C"/>
    <w:rsid w:val="4475773A"/>
    <w:rsid w:val="45B6056B"/>
    <w:rsid w:val="45B83507"/>
    <w:rsid w:val="46001285"/>
    <w:rsid w:val="471F2091"/>
    <w:rsid w:val="478671A1"/>
    <w:rsid w:val="47DE6468"/>
    <w:rsid w:val="48522F43"/>
    <w:rsid w:val="485D30D5"/>
    <w:rsid w:val="49355CE9"/>
    <w:rsid w:val="4A7F112E"/>
    <w:rsid w:val="4AE01D69"/>
    <w:rsid w:val="4AE478DC"/>
    <w:rsid w:val="4C5A6380"/>
    <w:rsid w:val="4E121B55"/>
    <w:rsid w:val="4E667237"/>
    <w:rsid w:val="4EB8126E"/>
    <w:rsid w:val="4FC730A4"/>
    <w:rsid w:val="4FE92D8A"/>
    <w:rsid w:val="51C12E42"/>
    <w:rsid w:val="5290036C"/>
    <w:rsid w:val="52D64D59"/>
    <w:rsid w:val="53A15CF2"/>
    <w:rsid w:val="540A2677"/>
    <w:rsid w:val="547B1529"/>
    <w:rsid w:val="54891BE5"/>
    <w:rsid w:val="557B7D23"/>
    <w:rsid w:val="572E731B"/>
    <w:rsid w:val="57633422"/>
    <w:rsid w:val="57AD25FE"/>
    <w:rsid w:val="57CB25AC"/>
    <w:rsid w:val="57E3340C"/>
    <w:rsid w:val="59864E85"/>
    <w:rsid w:val="59B3123E"/>
    <w:rsid w:val="59C16CF2"/>
    <w:rsid w:val="59DC0F38"/>
    <w:rsid w:val="59E85337"/>
    <w:rsid w:val="59F367F2"/>
    <w:rsid w:val="5A5B1025"/>
    <w:rsid w:val="5AED2C74"/>
    <w:rsid w:val="5BE52173"/>
    <w:rsid w:val="5BF92507"/>
    <w:rsid w:val="5C201D8F"/>
    <w:rsid w:val="5CDF3149"/>
    <w:rsid w:val="5DB03139"/>
    <w:rsid w:val="5F246AEA"/>
    <w:rsid w:val="5F92546E"/>
    <w:rsid w:val="5F964DD5"/>
    <w:rsid w:val="60CD53C0"/>
    <w:rsid w:val="60D13EB1"/>
    <w:rsid w:val="61365A38"/>
    <w:rsid w:val="61AB0FA1"/>
    <w:rsid w:val="61C6707F"/>
    <w:rsid w:val="61F1577D"/>
    <w:rsid w:val="61FD7E58"/>
    <w:rsid w:val="62A23B09"/>
    <w:rsid w:val="62E35A7A"/>
    <w:rsid w:val="637C0150"/>
    <w:rsid w:val="642F69A3"/>
    <w:rsid w:val="64D85196"/>
    <w:rsid w:val="64F7097A"/>
    <w:rsid w:val="652E32C1"/>
    <w:rsid w:val="658642F0"/>
    <w:rsid w:val="65E35C92"/>
    <w:rsid w:val="67171665"/>
    <w:rsid w:val="67464C22"/>
    <w:rsid w:val="678E5BEE"/>
    <w:rsid w:val="67A50A10"/>
    <w:rsid w:val="681304D3"/>
    <w:rsid w:val="68F06F2B"/>
    <w:rsid w:val="691409AD"/>
    <w:rsid w:val="69166546"/>
    <w:rsid w:val="69392234"/>
    <w:rsid w:val="696E20F2"/>
    <w:rsid w:val="69AB4EB6"/>
    <w:rsid w:val="6A12053A"/>
    <w:rsid w:val="6A1B1B6D"/>
    <w:rsid w:val="6A7F45BF"/>
    <w:rsid w:val="6A9D2C3C"/>
    <w:rsid w:val="6AA046FB"/>
    <w:rsid w:val="6C3A04AE"/>
    <w:rsid w:val="6C77379F"/>
    <w:rsid w:val="6D782168"/>
    <w:rsid w:val="6D7D6E05"/>
    <w:rsid w:val="6DA1788F"/>
    <w:rsid w:val="6E0C3048"/>
    <w:rsid w:val="6E547872"/>
    <w:rsid w:val="6E9C6399"/>
    <w:rsid w:val="6F1E43A6"/>
    <w:rsid w:val="6F640099"/>
    <w:rsid w:val="6F71097A"/>
    <w:rsid w:val="6F7D77C0"/>
    <w:rsid w:val="700D20BB"/>
    <w:rsid w:val="709A5CAE"/>
    <w:rsid w:val="70AE3508"/>
    <w:rsid w:val="71296F3C"/>
    <w:rsid w:val="72B56DCF"/>
    <w:rsid w:val="734621EC"/>
    <w:rsid w:val="73910668"/>
    <w:rsid w:val="73D21A17"/>
    <w:rsid w:val="74F146EB"/>
    <w:rsid w:val="75192C18"/>
    <w:rsid w:val="757D333A"/>
    <w:rsid w:val="7588638B"/>
    <w:rsid w:val="75DE19E6"/>
    <w:rsid w:val="763E4DD3"/>
    <w:rsid w:val="769B5C41"/>
    <w:rsid w:val="76C15D6B"/>
    <w:rsid w:val="76F15606"/>
    <w:rsid w:val="78090FA7"/>
    <w:rsid w:val="787968F6"/>
    <w:rsid w:val="79AA7F60"/>
    <w:rsid w:val="79AD0DC0"/>
    <w:rsid w:val="79FC1788"/>
    <w:rsid w:val="7AB3178D"/>
    <w:rsid w:val="7AC7547F"/>
    <w:rsid w:val="7B4B5354"/>
    <w:rsid w:val="7B922FC1"/>
    <w:rsid w:val="7B9E1ADA"/>
    <w:rsid w:val="7C305719"/>
    <w:rsid w:val="7C653614"/>
    <w:rsid w:val="7D4742F4"/>
    <w:rsid w:val="7D6D1CA6"/>
    <w:rsid w:val="7DD61194"/>
    <w:rsid w:val="7DE71E07"/>
    <w:rsid w:val="7DF7797A"/>
    <w:rsid w:val="7E2F4237"/>
    <w:rsid w:val="7F792F33"/>
    <w:rsid w:val="7FE200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2"/>
      <w:lang w:val="en-US" w:eastAsia="zh-CN" w:bidi="ar-SA"/>
    </w:rPr>
  </w:style>
  <w:style w:type="paragraph" w:styleId="2">
    <w:name w:val="heading 3"/>
    <w:basedOn w:val="1"/>
    <w:next w:val="1"/>
    <w:link w:val="17"/>
    <w:qFormat/>
    <w:uiPriority w:val="9"/>
    <w:pPr>
      <w:keepNext/>
      <w:keepLines/>
      <w:spacing w:before="260" w:after="260" w:line="416" w:lineRule="auto"/>
      <w:outlineLvl w:val="2"/>
    </w:pPr>
    <w:rPr>
      <w:b/>
      <w:bCs/>
      <w:sz w:val="32"/>
      <w:szCs w:val="32"/>
    </w:rPr>
  </w:style>
  <w:style w:type="character" w:default="1" w:styleId="13">
    <w:name w:val="Default Paragraph Font"/>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qFormat/>
    <w:uiPriority w:val="99"/>
    <w:pPr>
      <w:jc w:val="left"/>
    </w:pPr>
  </w:style>
  <w:style w:type="paragraph" w:styleId="4">
    <w:name w:val="Body Text"/>
    <w:basedOn w:val="1"/>
    <w:link w:val="19"/>
    <w:qFormat/>
    <w:uiPriority w:val="99"/>
    <w:pPr>
      <w:widowControl/>
      <w:spacing w:after="120" w:line="276" w:lineRule="auto"/>
      <w:jc w:val="left"/>
    </w:pPr>
    <w:rPr>
      <w:rFonts w:ascii="宋体" w:hAnsi="宋体"/>
      <w:kern w:val="0"/>
      <w:sz w:val="22"/>
      <w:lang w:eastAsia="en-US"/>
    </w:rPr>
  </w:style>
  <w:style w:type="paragraph" w:styleId="5">
    <w:name w:val="Balloon Text"/>
    <w:basedOn w:val="1"/>
    <w:link w:val="20"/>
    <w:qFormat/>
    <w:uiPriority w:val="99"/>
    <w:rPr>
      <w:sz w:val="18"/>
      <w:szCs w:val="18"/>
    </w:rPr>
  </w:style>
  <w:style w:type="paragraph" w:styleId="6">
    <w:name w:val="footer"/>
    <w:basedOn w:val="1"/>
    <w:link w:val="21"/>
    <w:qFormat/>
    <w:uiPriority w:val="99"/>
    <w:pPr>
      <w:tabs>
        <w:tab w:val="center" w:pos="4153"/>
        <w:tab w:val="right" w:pos="8306"/>
      </w:tabs>
      <w:snapToGrid w:val="0"/>
      <w:jc w:val="left"/>
    </w:pPr>
    <w:rPr>
      <w:sz w:val="18"/>
      <w:szCs w:val="18"/>
    </w:rPr>
  </w:style>
  <w:style w:type="paragraph" w:styleId="7">
    <w:name w:val="header"/>
    <w:basedOn w:val="1"/>
    <w:link w:val="22"/>
    <w:qFormat/>
    <w:uiPriority w:val="99"/>
    <w:pPr>
      <w:pBdr>
        <w:bottom w:val="single" w:color="auto" w:sz="6" w:space="1"/>
      </w:pBdr>
      <w:tabs>
        <w:tab w:val="center" w:pos="4153"/>
        <w:tab w:val="right" w:pos="8306"/>
      </w:tabs>
      <w:snapToGrid w:val="0"/>
      <w:jc w:val="center"/>
    </w:pPr>
    <w:rPr>
      <w:sz w:val="18"/>
      <w:szCs w:val="18"/>
    </w:rPr>
  </w:style>
  <w:style w:type="paragraph" w:styleId="8">
    <w:name w:val="HTML Preformatted"/>
    <w:basedOn w:val="1"/>
    <w:link w:val="23"/>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cs="Times New Roman"/>
      <w:kern w:val="0"/>
      <w:sz w:val="24"/>
      <w:szCs w:val="24"/>
    </w:rPr>
  </w:style>
  <w:style w:type="paragraph" w:styleId="9">
    <w:name w:val="Normal (Web)"/>
    <w:basedOn w:val="1"/>
    <w:unhideWhenUsed/>
    <w:qFormat/>
    <w:uiPriority w:val="99"/>
    <w:pPr>
      <w:widowControl/>
      <w:spacing w:before="100" w:beforeAutospacing="1" w:after="100" w:afterAutospacing="1"/>
      <w:jc w:val="left"/>
    </w:pPr>
    <w:rPr>
      <w:rFonts w:ascii="宋体" w:hAnsi="宋体"/>
      <w:kern w:val="0"/>
      <w:sz w:val="24"/>
      <w:szCs w:val="24"/>
    </w:rPr>
  </w:style>
  <w:style w:type="paragraph" w:styleId="10">
    <w:name w:val="annotation subject"/>
    <w:basedOn w:val="3"/>
    <w:next w:val="3"/>
    <w:link w:val="24"/>
    <w:qFormat/>
    <w:uiPriority w:val="99"/>
    <w:rPr>
      <w:b/>
      <w:bCs/>
    </w:rPr>
  </w:style>
  <w:style w:type="table" w:styleId="12">
    <w:name w:val="Table Grid"/>
    <w:basedOn w:val="11"/>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
    <w:name w:val="Strong"/>
    <w:qFormat/>
    <w:uiPriority w:val="0"/>
    <w:rPr>
      <w:b/>
    </w:rPr>
  </w:style>
  <w:style w:type="character" w:styleId="15">
    <w:name w:val="Hyperlink"/>
    <w:unhideWhenUsed/>
    <w:qFormat/>
    <w:uiPriority w:val="99"/>
    <w:rPr>
      <w:color w:val="0563C1"/>
      <w:u w:val="single"/>
    </w:rPr>
  </w:style>
  <w:style w:type="character" w:styleId="16">
    <w:name w:val="annotation reference"/>
    <w:qFormat/>
    <w:uiPriority w:val="99"/>
    <w:rPr>
      <w:sz w:val="21"/>
      <w:szCs w:val="21"/>
    </w:rPr>
  </w:style>
  <w:style w:type="character" w:customStyle="1" w:styleId="17">
    <w:name w:val="标题 3 字符"/>
    <w:link w:val="2"/>
    <w:qFormat/>
    <w:uiPriority w:val="9"/>
    <w:rPr>
      <w:b/>
      <w:bCs/>
      <w:kern w:val="2"/>
      <w:sz w:val="32"/>
      <w:szCs w:val="32"/>
    </w:rPr>
  </w:style>
  <w:style w:type="character" w:customStyle="1" w:styleId="18">
    <w:name w:val="批注文字 字符"/>
    <w:link w:val="3"/>
    <w:qFormat/>
    <w:uiPriority w:val="99"/>
    <w:rPr>
      <w:kern w:val="2"/>
      <w:sz w:val="21"/>
      <w:szCs w:val="22"/>
    </w:rPr>
  </w:style>
  <w:style w:type="character" w:customStyle="1" w:styleId="19">
    <w:name w:val="正文文本 字符"/>
    <w:link w:val="4"/>
    <w:qFormat/>
    <w:uiPriority w:val="99"/>
    <w:rPr>
      <w:rFonts w:ascii="宋体" w:hAnsi="宋体" w:eastAsia="宋体"/>
      <w:sz w:val="22"/>
      <w:szCs w:val="22"/>
      <w:lang w:eastAsia="en-US"/>
    </w:rPr>
  </w:style>
  <w:style w:type="character" w:customStyle="1" w:styleId="20">
    <w:name w:val="批注框文本 字符"/>
    <w:link w:val="5"/>
    <w:qFormat/>
    <w:uiPriority w:val="99"/>
    <w:rPr>
      <w:kern w:val="2"/>
      <w:sz w:val="18"/>
      <w:szCs w:val="18"/>
    </w:rPr>
  </w:style>
  <w:style w:type="character" w:customStyle="1" w:styleId="21">
    <w:name w:val="页脚 字符"/>
    <w:link w:val="6"/>
    <w:qFormat/>
    <w:uiPriority w:val="99"/>
    <w:rPr>
      <w:kern w:val="2"/>
      <w:sz w:val="18"/>
      <w:szCs w:val="18"/>
    </w:rPr>
  </w:style>
  <w:style w:type="character" w:customStyle="1" w:styleId="22">
    <w:name w:val="页眉 字符"/>
    <w:link w:val="7"/>
    <w:qFormat/>
    <w:uiPriority w:val="99"/>
    <w:rPr>
      <w:kern w:val="2"/>
      <w:sz w:val="18"/>
      <w:szCs w:val="18"/>
    </w:rPr>
  </w:style>
  <w:style w:type="character" w:customStyle="1" w:styleId="23">
    <w:name w:val="HTML 预设格式 字符"/>
    <w:link w:val="8"/>
    <w:qFormat/>
    <w:uiPriority w:val="0"/>
    <w:rPr>
      <w:rFonts w:ascii="宋体" w:hAnsi="宋体" w:eastAsia="宋体" w:cs="Times New Roman"/>
      <w:sz w:val="24"/>
      <w:szCs w:val="24"/>
    </w:rPr>
  </w:style>
  <w:style w:type="character" w:customStyle="1" w:styleId="24">
    <w:name w:val="批注主题 字符"/>
    <w:link w:val="10"/>
    <w:qFormat/>
    <w:uiPriority w:val="99"/>
    <w:rPr>
      <w:b/>
      <w:bCs/>
      <w:kern w:val="2"/>
      <w:sz w:val="21"/>
      <w:szCs w:val="22"/>
    </w:rPr>
  </w:style>
  <w:style w:type="paragraph" w:styleId="25">
    <w:name w:val="List Paragraph"/>
    <w:basedOn w:val="1"/>
    <w:qFormat/>
    <w:uiPriority w:val="99"/>
    <w:pPr>
      <w:ind w:firstLine="420" w:firstLineChars="200"/>
    </w:pPr>
  </w:style>
  <w:style w:type="paragraph" w:customStyle="1" w:styleId="26">
    <w:name w:val="Table Paragraph"/>
    <w:basedOn w:val="1"/>
    <w:qFormat/>
    <w:uiPriority w:val="1"/>
    <w:pPr>
      <w:autoSpaceDE w:val="0"/>
      <w:autoSpaceDN w:val="0"/>
      <w:jc w:val="left"/>
    </w:pPr>
    <w:rPr>
      <w:rFonts w:ascii="仿宋" w:hAnsi="仿宋" w:eastAsia="仿宋" w:cs="仿宋"/>
      <w:kern w:val="0"/>
      <w:sz w:val="22"/>
      <w:lang w:val="zh-CN" w:bidi="zh-CN"/>
    </w:rPr>
  </w:style>
  <w:style w:type="paragraph" w:customStyle="1" w:styleId="27">
    <w:name w:val="修订1"/>
    <w:qFormat/>
    <w:uiPriority w:val="99"/>
    <w:rPr>
      <w:rFonts w:ascii="Calibri" w:hAnsi="Calibri" w:eastAsia="宋体" w:cs="宋体"/>
      <w:kern w:val="2"/>
      <w:sz w:val="21"/>
      <w:szCs w:val="22"/>
      <w:lang w:val="en-US" w:eastAsia="zh-CN" w:bidi="ar-SA"/>
    </w:rPr>
  </w:style>
  <w:style w:type="character" w:customStyle="1" w:styleId="28">
    <w:name w:val="未处理的提及1"/>
    <w:semiHidden/>
    <w:unhideWhenUsed/>
    <w:qFormat/>
    <w:uiPriority w:val="99"/>
    <w:rPr>
      <w:color w:val="605E5C"/>
      <w:shd w:val="clear" w:color="auto" w:fill="E1DFDD"/>
    </w:rPr>
  </w:style>
  <w:style w:type="paragraph" w:customStyle="1" w:styleId="29">
    <w:name w:val="修订2"/>
    <w:hidden/>
    <w:unhideWhenUsed/>
    <w:qFormat/>
    <w:uiPriority w:val="99"/>
    <w:rPr>
      <w:rFonts w:ascii="Calibri" w:hAnsi="Calibri" w:eastAsia="宋体" w:cs="宋体"/>
      <w:kern w:val="2"/>
      <w:sz w:val="21"/>
      <w:szCs w:val="22"/>
      <w:lang w:val="en-US" w:eastAsia="zh-CN" w:bidi="ar-SA"/>
    </w:rPr>
  </w:style>
  <w:style w:type="paragraph" w:customStyle="1" w:styleId="30">
    <w:name w:val="修订3"/>
    <w:hidden/>
    <w:unhideWhenUsed/>
    <w:qFormat/>
    <w:uiPriority w:val="99"/>
    <w:rPr>
      <w:rFonts w:ascii="Calibri" w:hAnsi="Calibri" w:eastAsia="宋体" w:cs="宋体"/>
      <w:kern w:val="2"/>
      <w:sz w:val="21"/>
      <w:szCs w:val="22"/>
      <w:lang w:val="en-US" w:eastAsia="zh-CN" w:bidi="ar-SA"/>
    </w:rPr>
  </w:style>
  <w:style w:type="paragraph" w:customStyle="1" w:styleId="31">
    <w:name w:val="Revision"/>
    <w:hidden/>
    <w:unhideWhenUsed/>
    <w:qFormat/>
    <w:uiPriority w:val="99"/>
    <w:rPr>
      <w:rFonts w:ascii="Calibri" w:hAnsi="Calibri" w:eastAsia="宋体" w:cs="宋体"/>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282</Words>
  <Characters>347</Characters>
  <Lines>56</Lines>
  <Paragraphs>48</Paragraphs>
  <TotalTime>2</TotalTime>
  <ScaleCrop>false</ScaleCrop>
  <LinksUpToDate>false</LinksUpToDate>
  <CharactersWithSpaces>462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2026-01-28T15:09:00Z</dcterms:created>
  <dc:creator>Li Xiang</dc:creator>
  <cp:lastModifiedBy>Ye~叶</cp:lastModifiedBy>
  <dcterms:modified xsi:type="dcterms:W3CDTF">2026-09-24T08:07:48Z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22607B803F1B45DA80E4BD5450E74BD9_13</vt:lpwstr>
  </property>
  <property fmtid="{D5CDD505-2E9C-101B-9397-08002B2CF9AE}" pid="4" name="KSOTemplateDocerSaveRecord">
    <vt:lpwstr>eyJoZGlkIjoiOGYzN2YwOGE0NjA1ZGJiNTM3ZDJiNmRhNzZhYTFjOGQiLCJ1c2VySWQiOiIyMjMxOTA0NjcifQ==</vt:lpwstr>
  </property>
</Properties>
</file>