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0B1B5">
      <w:pPr>
        <w:keepNext/>
        <w:keepLines/>
        <w:spacing w:before="100" w:beforeAutospacing="1" w:after="260" w:line="360" w:lineRule="auto"/>
        <w:outlineLvl w:val="1"/>
        <w:rPr>
          <w:rFonts w:cs="Times New Roman" w:asciiTheme="minorEastAsia" w:hAnsiTheme="minorEastAsia"/>
          <w:b/>
          <w:bCs/>
          <w:iCs/>
          <w:color w:val="000000"/>
          <w:sz w:val="28"/>
          <w:szCs w:val="28"/>
        </w:rPr>
      </w:pPr>
      <w:r>
        <w:rPr>
          <w:rFonts w:hint="eastAsia" w:cs="Times New Roman" w:asciiTheme="minorEastAsia" w:hAnsiTheme="minorEastAsia"/>
          <w:b/>
          <w:bCs/>
          <w:iCs/>
          <w:color w:val="000000"/>
          <w:sz w:val="28"/>
          <w:szCs w:val="28"/>
        </w:rPr>
        <w:t>证券代码：</w:t>
      </w:r>
      <w:r>
        <w:rPr>
          <w:rFonts w:cs="Times New Roman" w:asciiTheme="minorEastAsia" w:hAnsiTheme="minorEastAsia"/>
          <w:b/>
          <w:bCs/>
          <w:iCs/>
          <w:color w:val="000000"/>
          <w:sz w:val="28"/>
          <w:szCs w:val="28"/>
        </w:rPr>
        <w:t>601018</w:t>
      </w:r>
      <w:r>
        <w:rPr>
          <w:rFonts w:hint="eastAsia" w:cs="Times New Roman" w:asciiTheme="minorEastAsia" w:hAnsiTheme="minorEastAsia"/>
          <w:b/>
          <w:bCs/>
          <w:iCs/>
          <w:color w:val="000000"/>
          <w:sz w:val="28"/>
          <w:szCs w:val="28"/>
        </w:rPr>
        <w:t xml:space="preserve">                           证券简称：宁波港</w:t>
      </w:r>
    </w:p>
    <w:p w14:paraId="16CFC2E0">
      <w:pPr>
        <w:snapToGrid w:val="0"/>
        <w:spacing w:line="300" w:lineRule="auto"/>
        <w:jc w:val="center"/>
        <w:rPr>
          <w:rFonts w:ascii="黑体" w:hAnsi="黑体" w:eastAsia="黑体" w:cs="Times New Roman"/>
          <w:b/>
          <w:bCs/>
          <w:iCs/>
          <w:color w:val="000000"/>
          <w:sz w:val="36"/>
          <w:szCs w:val="28"/>
        </w:rPr>
      </w:pPr>
      <w:r>
        <w:rPr>
          <w:rFonts w:hint="eastAsia" w:ascii="黑体" w:hAnsi="黑体" w:eastAsia="黑体" w:cs="Times New Roman"/>
          <w:b/>
          <w:bCs/>
          <w:iCs/>
          <w:color w:val="000000"/>
          <w:sz w:val="36"/>
          <w:szCs w:val="28"/>
        </w:rPr>
        <w:t>宁波舟山港股份有限公司投资者关系活动记录表</w:t>
      </w:r>
    </w:p>
    <w:p w14:paraId="514FF4A6">
      <w:pPr>
        <w:snapToGrid w:val="0"/>
        <w:spacing w:line="300" w:lineRule="auto"/>
        <w:jc w:val="center"/>
        <w:rPr>
          <w:rFonts w:cs="Times New Roman" w:asciiTheme="minorEastAsia" w:hAnsiTheme="minorEastAsia"/>
          <w:b/>
          <w:bCs/>
          <w:iCs/>
          <w:color w:val="000000"/>
          <w:sz w:val="28"/>
          <w:szCs w:val="28"/>
        </w:rPr>
      </w:pPr>
    </w:p>
    <w:tbl>
      <w:tblPr>
        <w:tblStyle w:val="4"/>
        <w:tblW w:w="9810"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4"/>
        <w:gridCol w:w="7796"/>
      </w:tblGrid>
      <w:tr w14:paraId="4FE9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shd w:val="clear" w:color="auto" w:fill="auto"/>
            <w:vAlign w:val="center"/>
          </w:tcPr>
          <w:p w14:paraId="33CEFAB2">
            <w:pPr>
              <w:snapToGrid w:val="0"/>
              <w:spacing w:line="300" w:lineRule="auto"/>
              <w:rPr>
                <w:rFonts w:cs="Times New Roman" w:asciiTheme="minorEastAsia" w:hAnsiTheme="minorEastAsia"/>
                <w:b/>
                <w:bCs/>
                <w:iCs/>
                <w:color w:val="000000"/>
                <w:kern w:val="0"/>
                <w:sz w:val="24"/>
                <w:szCs w:val="24"/>
              </w:rPr>
            </w:pPr>
            <w:r>
              <w:rPr>
                <w:rFonts w:cs="Times New Roman" w:asciiTheme="minorEastAsia" w:hAnsiTheme="minorEastAsia"/>
                <w:b/>
                <w:bCs/>
                <w:iCs/>
                <w:color w:val="000000"/>
                <w:kern w:val="0"/>
                <w:sz w:val="24"/>
                <w:szCs w:val="24"/>
              </w:rPr>
              <w:t>投资者关系活动类别</w:t>
            </w:r>
          </w:p>
        </w:tc>
        <w:tc>
          <w:tcPr>
            <w:tcW w:w="7796" w:type="dxa"/>
            <w:shd w:val="clear" w:color="auto" w:fill="auto"/>
          </w:tcPr>
          <w:p w14:paraId="43ED2EC6">
            <w:pPr>
              <w:snapToGrid w:val="0"/>
              <w:spacing w:line="300" w:lineRule="auto"/>
              <w:jc w:val="left"/>
              <w:rPr>
                <w:rFonts w:cs="Times New Roman" w:asciiTheme="minorEastAsia" w:hAnsiTheme="minorEastAsia"/>
                <w:bCs/>
                <w:iCs/>
                <w:color w:val="000000"/>
                <w:kern w:val="0"/>
                <w:sz w:val="24"/>
                <w:szCs w:val="24"/>
              </w:rPr>
            </w:pPr>
            <w:r>
              <w:rPr>
                <w:rFonts w:hint="eastAsia" w:cs="Times New Roman" w:asciiTheme="minorEastAsia" w:hAnsiTheme="minorEastAsia"/>
                <w:bCs/>
                <w:iCs/>
                <w:color w:val="000000"/>
                <w:kern w:val="0"/>
                <w:sz w:val="24"/>
                <w:szCs w:val="24"/>
              </w:rPr>
              <w:t>□</w:t>
            </w:r>
            <w:r>
              <w:rPr>
                <w:rFonts w:cs="Times New Roman" w:asciiTheme="minorEastAsia" w:hAnsiTheme="minorEastAsia"/>
                <w:bCs/>
                <w:iCs/>
                <w:color w:val="000000"/>
                <w:kern w:val="0"/>
                <w:sz w:val="24"/>
                <w:szCs w:val="24"/>
              </w:rPr>
              <w:t xml:space="preserve">特定对象调研        </w:t>
            </w:r>
            <w:r>
              <w:rPr>
                <w:rFonts w:hint="eastAsia" w:cs="Times New Roman" w:asciiTheme="minorEastAsia" w:hAnsiTheme="minorEastAsia"/>
                <w:bCs/>
                <w:iCs/>
                <w:color w:val="000000"/>
                <w:kern w:val="0"/>
                <w:sz w:val="24"/>
                <w:szCs w:val="24"/>
              </w:rPr>
              <w:t>□</w:t>
            </w:r>
            <w:r>
              <w:rPr>
                <w:rFonts w:cs="Times New Roman" w:asciiTheme="minorEastAsia" w:hAnsiTheme="minorEastAsia"/>
                <w:bCs/>
                <w:iCs/>
                <w:color w:val="000000"/>
                <w:kern w:val="0"/>
                <w:sz w:val="24"/>
                <w:szCs w:val="24"/>
              </w:rPr>
              <w:t>分析师会议</w:t>
            </w:r>
          </w:p>
          <w:p w14:paraId="00358DE4">
            <w:pPr>
              <w:snapToGrid w:val="0"/>
              <w:spacing w:line="300" w:lineRule="auto"/>
              <w:jc w:val="left"/>
              <w:rPr>
                <w:rFonts w:cs="Times New Roman" w:asciiTheme="minorEastAsia" w:hAnsiTheme="minorEastAsia"/>
                <w:bCs/>
                <w:iCs/>
                <w:color w:val="000000"/>
                <w:kern w:val="0"/>
                <w:sz w:val="24"/>
                <w:szCs w:val="24"/>
              </w:rPr>
            </w:pPr>
            <w:r>
              <w:rPr>
                <w:rFonts w:hint="eastAsia" w:cs="Times New Roman" w:asciiTheme="minorEastAsia" w:hAnsiTheme="minorEastAsia"/>
                <w:bCs/>
                <w:iCs/>
                <w:color w:val="000000"/>
                <w:kern w:val="0"/>
                <w:sz w:val="24"/>
                <w:szCs w:val="24"/>
              </w:rPr>
              <w:t>□</w:t>
            </w:r>
            <w:r>
              <w:rPr>
                <w:rFonts w:cs="Times New Roman" w:asciiTheme="minorEastAsia" w:hAnsiTheme="minorEastAsia"/>
                <w:bCs/>
                <w:iCs/>
                <w:color w:val="000000"/>
                <w:kern w:val="0"/>
                <w:sz w:val="24"/>
                <w:szCs w:val="24"/>
              </w:rPr>
              <w:t xml:space="preserve">媒体采访            </w:t>
            </w:r>
            <w:r>
              <w:rPr>
                <w:rFonts w:hint="eastAsia" w:cs="Times New Roman" w:asciiTheme="minorEastAsia" w:hAnsiTheme="minorEastAsia"/>
                <w:bCs/>
                <w:iCs/>
                <w:color w:val="000000"/>
                <w:kern w:val="0"/>
                <w:sz w:val="24"/>
                <w:szCs w:val="24"/>
              </w:rPr>
              <w:t>√</w:t>
            </w:r>
            <w:r>
              <w:rPr>
                <w:rFonts w:cs="Times New Roman" w:asciiTheme="minorEastAsia" w:hAnsiTheme="minorEastAsia"/>
                <w:bCs/>
                <w:iCs/>
                <w:color w:val="000000"/>
                <w:kern w:val="0"/>
                <w:sz w:val="24"/>
                <w:szCs w:val="24"/>
              </w:rPr>
              <w:t>业绩说明会</w:t>
            </w:r>
          </w:p>
          <w:p w14:paraId="306B7491">
            <w:pPr>
              <w:snapToGrid w:val="0"/>
              <w:spacing w:line="300" w:lineRule="auto"/>
              <w:jc w:val="left"/>
              <w:rPr>
                <w:rFonts w:cs="Times New Roman" w:asciiTheme="minorEastAsia" w:hAnsiTheme="minorEastAsia"/>
                <w:bCs/>
                <w:iCs/>
                <w:color w:val="000000"/>
                <w:kern w:val="0"/>
                <w:sz w:val="24"/>
                <w:szCs w:val="24"/>
              </w:rPr>
            </w:pPr>
            <w:r>
              <w:rPr>
                <w:rFonts w:hint="eastAsia" w:cs="Times New Roman" w:asciiTheme="minorEastAsia" w:hAnsiTheme="minorEastAsia"/>
                <w:bCs/>
                <w:iCs/>
                <w:color w:val="000000"/>
                <w:kern w:val="0"/>
                <w:sz w:val="24"/>
                <w:szCs w:val="24"/>
              </w:rPr>
              <w:t>□</w:t>
            </w:r>
            <w:r>
              <w:rPr>
                <w:rFonts w:cs="Times New Roman" w:asciiTheme="minorEastAsia" w:hAnsiTheme="minorEastAsia"/>
                <w:bCs/>
                <w:iCs/>
                <w:color w:val="000000"/>
                <w:kern w:val="0"/>
                <w:sz w:val="24"/>
                <w:szCs w:val="24"/>
              </w:rPr>
              <w:t xml:space="preserve">新闻发布会          </w:t>
            </w:r>
            <w:r>
              <w:rPr>
                <w:rFonts w:hint="eastAsia" w:cs="Times New Roman" w:asciiTheme="minorEastAsia" w:hAnsiTheme="minorEastAsia"/>
                <w:bCs/>
                <w:iCs/>
                <w:color w:val="000000"/>
                <w:kern w:val="0"/>
                <w:sz w:val="24"/>
                <w:szCs w:val="24"/>
              </w:rPr>
              <w:t>□</w:t>
            </w:r>
            <w:r>
              <w:rPr>
                <w:rFonts w:cs="Times New Roman" w:asciiTheme="minorEastAsia" w:hAnsiTheme="minorEastAsia"/>
                <w:bCs/>
                <w:iCs/>
                <w:color w:val="000000"/>
                <w:kern w:val="0"/>
                <w:sz w:val="24"/>
                <w:szCs w:val="24"/>
              </w:rPr>
              <w:t>路演活动</w:t>
            </w:r>
          </w:p>
          <w:p w14:paraId="4AEE0AD6">
            <w:pPr>
              <w:tabs>
                <w:tab w:val="left" w:pos="2690"/>
                <w:tab w:val="center" w:pos="3199"/>
              </w:tabs>
              <w:snapToGrid w:val="0"/>
              <w:spacing w:line="300" w:lineRule="auto"/>
              <w:jc w:val="left"/>
              <w:rPr>
                <w:rFonts w:cs="Times New Roman" w:asciiTheme="minorEastAsia" w:hAnsiTheme="minorEastAsia"/>
                <w:bCs/>
                <w:iCs/>
                <w:color w:val="000000"/>
                <w:kern w:val="0"/>
                <w:sz w:val="24"/>
                <w:szCs w:val="24"/>
              </w:rPr>
            </w:pPr>
            <w:r>
              <w:rPr>
                <w:rFonts w:hint="eastAsia" w:cs="Times New Roman" w:asciiTheme="minorEastAsia" w:hAnsiTheme="minorEastAsia"/>
                <w:bCs/>
                <w:iCs/>
                <w:color w:val="000000"/>
                <w:kern w:val="0"/>
                <w:sz w:val="24"/>
                <w:szCs w:val="24"/>
              </w:rPr>
              <w:t>□</w:t>
            </w:r>
            <w:r>
              <w:rPr>
                <w:rFonts w:cs="Times New Roman" w:asciiTheme="minorEastAsia" w:hAnsiTheme="minorEastAsia"/>
                <w:bCs/>
                <w:iCs/>
                <w:color w:val="000000"/>
                <w:kern w:val="0"/>
                <w:sz w:val="24"/>
                <w:szCs w:val="24"/>
              </w:rPr>
              <w:t xml:space="preserve">现场参观            </w:t>
            </w:r>
            <w:r>
              <w:rPr>
                <w:rFonts w:hint="eastAsia" w:cs="Times New Roman" w:asciiTheme="minorEastAsia" w:hAnsiTheme="minorEastAsia"/>
                <w:bCs/>
                <w:iCs/>
                <w:color w:val="000000"/>
                <w:kern w:val="0"/>
                <w:sz w:val="24"/>
                <w:szCs w:val="24"/>
              </w:rPr>
              <w:t>□</w:t>
            </w:r>
            <w:r>
              <w:rPr>
                <w:rFonts w:cs="Times New Roman" w:asciiTheme="minorEastAsia" w:hAnsiTheme="minorEastAsia"/>
                <w:bCs/>
                <w:iCs/>
                <w:color w:val="000000"/>
                <w:kern w:val="0"/>
                <w:sz w:val="24"/>
                <w:szCs w:val="24"/>
              </w:rPr>
              <w:t>电话会议</w:t>
            </w:r>
          </w:p>
          <w:p w14:paraId="1646D6BA">
            <w:pPr>
              <w:tabs>
                <w:tab w:val="center" w:pos="3199"/>
              </w:tabs>
              <w:snapToGrid w:val="0"/>
              <w:spacing w:line="300" w:lineRule="auto"/>
              <w:jc w:val="left"/>
              <w:rPr>
                <w:rFonts w:cs="Times New Roman" w:asciiTheme="minorEastAsia" w:hAnsiTheme="minorEastAsia"/>
                <w:bCs/>
                <w:iCs/>
                <w:color w:val="000000"/>
                <w:kern w:val="0"/>
                <w:sz w:val="24"/>
                <w:szCs w:val="24"/>
              </w:rPr>
            </w:pPr>
            <w:r>
              <w:rPr>
                <w:rFonts w:hint="eastAsia" w:cs="Times New Roman" w:asciiTheme="minorEastAsia" w:hAnsiTheme="minorEastAsia"/>
                <w:bCs/>
                <w:iCs/>
                <w:color w:val="000000"/>
                <w:kern w:val="0"/>
                <w:sz w:val="24"/>
                <w:szCs w:val="24"/>
              </w:rPr>
              <w:t>□</w:t>
            </w:r>
            <w:r>
              <w:rPr>
                <w:rFonts w:cs="Times New Roman" w:asciiTheme="minorEastAsia" w:hAnsiTheme="minorEastAsia"/>
                <w:bCs/>
                <w:iCs/>
                <w:color w:val="000000"/>
                <w:kern w:val="0"/>
                <w:sz w:val="24"/>
                <w:szCs w:val="24"/>
              </w:rPr>
              <w:t>其他</w:t>
            </w:r>
            <w:r>
              <w:rPr>
                <w:rFonts w:hint="eastAsia" w:cs="Times New Roman" w:asciiTheme="minorEastAsia" w:hAnsiTheme="minorEastAsia"/>
                <w:bCs/>
                <w:iCs/>
                <w:color w:val="000000"/>
                <w:kern w:val="0"/>
                <w:sz w:val="24"/>
                <w:szCs w:val="24"/>
                <w:u w:val="single"/>
              </w:rPr>
              <w:t xml:space="preserve">          </w:t>
            </w:r>
          </w:p>
        </w:tc>
      </w:tr>
      <w:tr w14:paraId="392F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2014" w:type="dxa"/>
            <w:shd w:val="clear" w:color="auto" w:fill="auto"/>
            <w:vAlign w:val="center"/>
          </w:tcPr>
          <w:p w14:paraId="3B96E3F1">
            <w:pPr>
              <w:snapToGrid w:val="0"/>
              <w:spacing w:line="300" w:lineRule="auto"/>
              <w:rPr>
                <w:rFonts w:cs="Times New Roman" w:asciiTheme="minorEastAsia" w:hAnsiTheme="minorEastAsia"/>
                <w:b/>
                <w:bCs/>
                <w:iCs/>
                <w:color w:val="000000"/>
                <w:kern w:val="0"/>
                <w:sz w:val="24"/>
                <w:szCs w:val="24"/>
              </w:rPr>
            </w:pPr>
            <w:r>
              <w:rPr>
                <w:rFonts w:cs="Times New Roman" w:asciiTheme="minorEastAsia" w:hAnsiTheme="minorEastAsia"/>
                <w:b/>
                <w:bCs/>
                <w:iCs/>
                <w:color w:val="000000"/>
                <w:kern w:val="0"/>
                <w:sz w:val="24"/>
                <w:szCs w:val="24"/>
              </w:rPr>
              <w:t>参与单位名称及人员姓名</w:t>
            </w:r>
          </w:p>
        </w:tc>
        <w:tc>
          <w:tcPr>
            <w:tcW w:w="7796" w:type="dxa"/>
            <w:shd w:val="clear" w:color="auto" w:fill="auto"/>
            <w:vAlign w:val="center"/>
          </w:tcPr>
          <w:p w14:paraId="353B23D1">
            <w:pPr>
              <w:tabs>
                <w:tab w:val="center" w:pos="2798"/>
              </w:tabs>
              <w:snapToGrid w:val="0"/>
              <w:spacing w:line="300" w:lineRule="auto"/>
              <w:rPr>
                <w:rFonts w:cs="Times New Roman" w:asciiTheme="minorEastAsia" w:hAnsiTheme="minorEastAsia"/>
                <w:bCs/>
                <w:iCs/>
                <w:color w:val="000000"/>
                <w:kern w:val="0"/>
                <w:sz w:val="24"/>
                <w:szCs w:val="24"/>
              </w:rPr>
            </w:pPr>
            <w:r>
              <w:rPr>
                <w:rFonts w:cs="Times New Roman" w:asciiTheme="minorEastAsia" w:hAnsiTheme="minorEastAsia"/>
                <w:bCs/>
                <w:iCs/>
                <w:color w:val="000000"/>
                <w:kern w:val="0"/>
                <w:sz w:val="24"/>
                <w:szCs w:val="24"/>
              </w:rPr>
              <w:t>线上参与公司</w:t>
            </w:r>
            <w:r>
              <w:rPr>
                <w:rFonts w:hint="eastAsia" w:ascii="宋体" w:hAnsi="宋体" w:eastAsia="宋体" w:cs="宋体"/>
                <w:bCs/>
                <w:iCs/>
                <w:color w:val="000000"/>
                <w:sz w:val="24"/>
                <w:highlight w:val="none"/>
                <w:lang w:val="en-GB"/>
              </w:rPr>
              <w:t>2026年半年度业绩说明会</w:t>
            </w:r>
            <w:r>
              <w:rPr>
                <w:rFonts w:cs="Times New Roman" w:asciiTheme="minorEastAsia" w:hAnsiTheme="minorEastAsia"/>
                <w:bCs/>
                <w:iCs/>
                <w:color w:val="000000"/>
                <w:kern w:val="0"/>
                <w:sz w:val="24"/>
                <w:szCs w:val="24"/>
              </w:rPr>
              <w:t>的投资者</w:t>
            </w:r>
          </w:p>
        </w:tc>
      </w:tr>
      <w:tr w14:paraId="1DF8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shd w:val="clear" w:color="auto" w:fill="auto"/>
            <w:vAlign w:val="center"/>
          </w:tcPr>
          <w:p w14:paraId="71282529">
            <w:pPr>
              <w:snapToGrid w:val="0"/>
              <w:spacing w:line="300" w:lineRule="auto"/>
              <w:rPr>
                <w:rFonts w:cs="Times New Roman" w:asciiTheme="minorEastAsia" w:hAnsiTheme="minorEastAsia"/>
                <w:b/>
                <w:bCs/>
                <w:iCs/>
                <w:color w:val="000000"/>
                <w:kern w:val="0"/>
                <w:sz w:val="24"/>
                <w:szCs w:val="24"/>
              </w:rPr>
            </w:pPr>
            <w:r>
              <w:rPr>
                <w:rFonts w:cs="Times New Roman" w:asciiTheme="minorEastAsia" w:hAnsiTheme="minorEastAsia"/>
                <w:b/>
                <w:bCs/>
                <w:iCs/>
                <w:color w:val="000000"/>
                <w:kern w:val="0"/>
                <w:sz w:val="24"/>
                <w:szCs w:val="24"/>
              </w:rPr>
              <w:t>会议时间</w:t>
            </w:r>
          </w:p>
        </w:tc>
        <w:tc>
          <w:tcPr>
            <w:tcW w:w="7796" w:type="dxa"/>
            <w:shd w:val="clear" w:color="auto" w:fill="auto"/>
          </w:tcPr>
          <w:p w14:paraId="7C9176CF">
            <w:pPr>
              <w:snapToGrid w:val="0"/>
              <w:spacing w:line="300" w:lineRule="auto"/>
              <w:jc w:val="left"/>
              <w:rPr>
                <w:rFonts w:cs="Times New Roman" w:asciiTheme="minorEastAsia" w:hAnsiTheme="minorEastAsia"/>
                <w:bCs/>
                <w:iCs/>
                <w:color w:val="000000"/>
                <w:kern w:val="0"/>
                <w:sz w:val="24"/>
                <w:szCs w:val="24"/>
              </w:rPr>
            </w:pPr>
            <w:r>
              <w:rPr>
                <w:rFonts w:cs="Times New Roman" w:asciiTheme="minorEastAsia" w:hAnsiTheme="minorEastAsia"/>
                <w:bCs/>
                <w:iCs/>
                <w:color w:val="000000"/>
                <w:kern w:val="0"/>
                <w:sz w:val="24"/>
                <w:szCs w:val="24"/>
              </w:rPr>
              <w:t>202</w:t>
            </w:r>
            <w:r>
              <w:rPr>
                <w:rFonts w:hint="default" w:cs="Times New Roman" w:asciiTheme="minorEastAsia" w:hAnsiTheme="minorEastAsia"/>
                <w:bCs/>
                <w:iCs/>
                <w:color w:val="000000"/>
                <w:kern w:val="0"/>
                <w:sz w:val="24"/>
                <w:szCs w:val="24"/>
                <w:lang w:val="en-US"/>
              </w:rPr>
              <w:t>6</w:t>
            </w:r>
            <w:r>
              <w:rPr>
                <w:rFonts w:cs="Times New Roman" w:asciiTheme="minorEastAsia" w:hAnsiTheme="minorEastAsia"/>
                <w:bCs/>
                <w:iCs/>
                <w:color w:val="000000"/>
                <w:kern w:val="0"/>
                <w:sz w:val="24"/>
                <w:szCs w:val="24"/>
              </w:rPr>
              <w:t>年</w:t>
            </w:r>
            <w:r>
              <w:rPr>
                <w:rFonts w:hint="default" w:cs="Times New Roman" w:asciiTheme="minorEastAsia" w:hAnsiTheme="minorEastAsia"/>
                <w:bCs/>
                <w:iCs/>
                <w:color w:val="000000"/>
                <w:kern w:val="0"/>
                <w:sz w:val="24"/>
                <w:szCs w:val="24"/>
                <w:lang w:val="en-US" w:eastAsia="zh-CN"/>
              </w:rPr>
              <w:t>9</w:t>
            </w:r>
            <w:r>
              <w:rPr>
                <w:rFonts w:cs="Times New Roman" w:asciiTheme="minorEastAsia" w:hAnsiTheme="minorEastAsia"/>
                <w:bCs/>
                <w:iCs/>
                <w:color w:val="000000"/>
                <w:kern w:val="0"/>
                <w:sz w:val="24"/>
                <w:szCs w:val="24"/>
              </w:rPr>
              <w:t>月2</w:t>
            </w:r>
            <w:r>
              <w:rPr>
                <w:rFonts w:hint="default" w:cs="Times New Roman" w:asciiTheme="minorEastAsia" w:hAnsiTheme="minorEastAsia"/>
                <w:bCs/>
                <w:iCs/>
                <w:color w:val="000000"/>
                <w:kern w:val="0"/>
                <w:sz w:val="24"/>
                <w:szCs w:val="24"/>
                <w:lang w:val="en-US" w:eastAsia="zh-CN"/>
              </w:rPr>
              <w:t>3</w:t>
            </w:r>
            <w:r>
              <w:rPr>
                <w:rFonts w:cs="Times New Roman" w:asciiTheme="minorEastAsia" w:hAnsiTheme="minorEastAsia"/>
                <w:bCs/>
                <w:iCs/>
                <w:color w:val="000000"/>
                <w:kern w:val="0"/>
                <w:sz w:val="24"/>
                <w:szCs w:val="24"/>
              </w:rPr>
              <w:t>日10:00-11:00</w:t>
            </w:r>
          </w:p>
        </w:tc>
      </w:tr>
      <w:tr w14:paraId="54104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shd w:val="clear" w:color="auto" w:fill="auto"/>
            <w:vAlign w:val="center"/>
          </w:tcPr>
          <w:p w14:paraId="5EC5F7A6">
            <w:pPr>
              <w:snapToGrid w:val="0"/>
              <w:spacing w:line="300" w:lineRule="auto"/>
              <w:rPr>
                <w:rFonts w:cs="Times New Roman" w:asciiTheme="minorEastAsia" w:hAnsiTheme="minorEastAsia"/>
                <w:b/>
                <w:bCs/>
                <w:iCs/>
                <w:color w:val="000000"/>
                <w:kern w:val="0"/>
                <w:sz w:val="24"/>
                <w:szCs w:val="24"/>
              </w:rPr>
            </w:pPr>
            <w:r>
              <w:rPr>
                <w:rFonts w:cs="Times New Roman" w:asciiTheme="minorEastAsia" w:hAnsiTheme="minorEastAsia"/>
                <w:b/>
                <w:bCs/>
                <w:iCs/>
                <w:color w:val="000000"/>
                <w:kern w:val="0"/>
                <w:sz w:val="24"/>
                <w:szCs w:val="24"/>
              </w:rPr>
              <w:t>会议地点</w:t>
            </w:r>
          </w:p>
        </w:tc>
        <w:tc>
          <w:tcPr>
            <w:tcW w:w="7796" w:type="dxa"/>
            <w:shd w:val="clear" w:color="auto" w:fill="auto"/>
          </w:tcPr>
          <w:p w14:paraId="2BF0CB02">
            <w:pPr>
              <w:rPr>
                <w:rFonts w:ascii="宋体" w:hAnsi="宋体"/>
                <w:bCs/>
                <w:sz w:val="24"/>
              </w:rPr>
            </w:pPr>
            <w:r>
              <w:rPr>
                <w:rFonts w:hint="eastAsia" w:ascii="宋体" w:hAnsi="宋体"/>
                <w:bCs/>
                <w:sz w:val="24"/>
              </w:rPr>
              <w:t xml:space="preserve">上证路演中心 </w:t>
            </w:r>
            <w:r>
              <w:fldChar w:fldCharType="begin"/>
            </w:r>
            <w:r>
              <w:instrText xml:space="preserve"> HYPERLINK "https://roadshow.sseinfo.com" </w:instrText>
            </w:r>
            <w:r>
              <w:fldChar w:fldCharType="separate"/>
            </w:r>
            <w:r>
              <w:rPr>
                <w:rStyle w:val="7"/>
                <w:rFonts w:hint="eastAsia" w:ascii="宋体" w:hAnsi="宋体"/>
                <w:bCs/>
                <w:sz w:val="24"/>
              </w:rPr>
              <w:t>https://roadshow.sseinfo.com</w:t>
            </w:r>
            <w:r>
              <w:rPr>
                <w:rStyle w:val="7"/>
                <w:rFonts w:hint="eastAsia" w:ascii="宋体" w:hAnsi="宋体"/>
                <w:bCs/>
                <w:sz w:val="24"/>
              </w:rPr>
              <w:fldChar w:fldCharType="end"/>
            </w:r>
          </w:p>
          <w:p w14:paraId="271BE0D7">
            <w:pPr>
              <w:snapToGrid w:val="0"/>
              <w:spacing w:line="300" w:lineRule="auto"/>
              <w:jc w:val="left"/>
              <w:rPr>
                <w:rFonts w:cs="Times New Roman" w:asciiTheme="minorEastAsia" w:hAnsiTheme="minorEastAsia"/>
                <w:bCs/>
                <w:iCs/>
                <w:color w:val="000000"/>
                <w:kern w:val="0"/>
                <w:sz w:val="24"/>
                <w:szCs w:val="24"/>
              </w:rPr>
            </w:pPr>
            <w:r>
              <w:rPr>
                <w:rFonts w:hint="eastAsia" w:ascii="宋体" w:hAnsi="宋体"/>
                <w:bCs/>
                <w:sz w:val="24"/>
              </w:rPr>
              <w:t>视频录播+网络文字互动</w:t>
            </w:r>
          </w:p>
        </w:tc>
      </w:tr>
      <w:tr w14:paraId="58FF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shd w:val="clear" w:color="auto" w:fill="auto"/>
            <w:vAlign w:val="center"/>
          </w:tcPr>
          <w:p w14:paraId="03470BD1">
            <w:pPr>
              <w:snapToGrid w:val="0"/>
              <w:spacing w:line="300" w:lineRule="auto"/>
              <w:rPr>
                <w:rFonts w:cs="Times New Roman" w:asciiTheme="minorEastAsia" w:hAnsiTheme="minorEastAsia"/>
                <w:b/>
                <w:bCs/>
                <w:iCs/>
                <w:color w:val="000000"/>
                <w:kern w:val="0"/>
                <w:sz w:val="24"/>
                <w:szCs w:val="24"/>
              </w:rPr>
            </w:pPr>
            <w:r>
              <w:rPr>
                <w:rFonts w:cs="Times New Roman" w:asciiTheme="minorEastAsia" w:hAnsiTheme="minorEastAsia"/>
                <w:b/>
                <w:bCs/>
                <w:iCs/>
                <w:color w:val="000000"/>
                <w:kern w:val="0"/>
                <w:sz w:val="24"/>
                <w:szCs w:val="24"/>
              </w:rPr>
              <w:t>上市公司接待人员姓名</w:t>
            </w:r>
          </w:p>
        </w:tc>
        <w:tc>
          <w:tcPr>
            <w:tcW w:w="7796" w:type="dxa"/>
            <w:shd w:val="clear" w:color="auto" w:fill="auto"/>
          </w:tcPr>
          <w:p w14:paraId="3159AEEE">
            <w:pPr>
              <w:snapToGrid w:val="0"/>
              <w:spacing w:line="300" w:lineRule="auto"/>
              <w:jc w:val="left"/>
              <w:rPr>
                <w:rFonts w:hint="eastAsia" w:cs="Times New Roman" w:asciiTheme="minorEastAsia" w:hAnsiTheme="minorEastAsia" w:eastAsiaTheme="minorEastAsia"/>
                <w:bCs/>
                <w:iCs/>
                <w:color w:val="000000"/>
                <w:kern w:val="0"/>
                <w:sz w:val="24"/>
                <w:szCs w:val="24"/>
                <w:lang w:val="en-US" w:eastAsia="zh-CN"/>
              </w:rPr>
            </w:pPr>
            <w:r>
              <w:rPr>
                <w:rFonts w:hint="eastAsia" w:ascii="宋体" w:hAnsi="宋体" w:eastAsia="宋体" w:cs="宋体"/>
                <w:sz w:val="24"/>
                <w:szCs w:val="24"/>
              </w:rPr>
              <w:t>董事长、代董事会秘书：朱苗</w:t>
            </w:r>
            <w:r>
              <w:rPr>
                <w:rFonts w:hint="eastAsia" w:cs="Times New Roman" w:asciiTheme="minorEastAsia" w:hAnsiTheme="minorEastAsia"/>
                <w:bCs/>
                <w:iCs/>
                <w:color w:val="000000"/>
                <w:kern w:val="0"/>
                <w:sz w:val="24"/>
                <w:szCs w:val="24"/>
              </w:rPr>
              <w:t>；</w:t>
            </w:r>
            <w:r>
              <w:rPr>
                <w:rFonts w:hint="eastAsia" w:ascii="宋体" w:hAnsi="宋体" w:eastAsia="宋体" w:cs="宋体"/>
                <w:sz w:val="24"/>
                <w:szCs w:val="24"/>
              </w:rPr>
              <w:t>董事、副总经理：洪其虎</w:t>
            </w:r>
            <w:r>
              <w:rPr>
                <w:rFonts w:hint="eastAsia" w:ascii="宋体" w:hAnsi="宋体" w:eastAsia="宋体" w:cs="宋体"/>
                <w:sz w:val="24"/>
                <w:szCs w:val="24"/>
                <w:lang w:eastAsia="zh-CN"/>
              </w:rPr>
              <w:t>；</w:t>
            </w:r>
            <w:r>
              <w:rPr>
                <w:rFonts w:hint="eastAsia" w:cs="Times New Roman" w:asciiTheme="minorEastAsia" w:hAnsiTheme="minorEastAsia"/>
                <w:bCs/>
                <w:iCs/>
                <w:color w:val="000000"/>
                <w:kern w:val="0"/>
                <w:sz w:val="24"/>
                <w:szCs w:val="24"/>
              </w:rPr>
              <w:t>独立董事：</w:t>
            </w:r>
            <w:r>
              <w:rPr>
                <w:rFonts w:hint="eastAsia" w:cs="Times New Roman" w:asciiTheme="minorEastAsia" w:hAnsiTheme="minorEastAsia"/>
                <w:bCs/>
                <w:iCs/>
                <w:color w:val="000000"/>
                <w:kern w:val="0"/>
                <w:sz w:val="24"/>
                <w:szCs w:val="24"/>
                <w:lang w:val="en-US" w:eastAsia="zh-CN"/>
              </w:rPr>
              <w:t>潘士远</w:t>
            </w:r>
            <w:r>
              <w:rPr>
                <w:rFonts w:hint="eastAsia" w:cs="Times New Roman" w:asciiTheme="minorEastAsia" w:hAnsiTheme="minorEastAsia"/>
                <w:bCs/>
                <w:iCs/>
                <w:color w:val="000000"/>
                <w:kern w:val="0"/>
                <w:sz w:val="24"/>
                <w:szCs w:val="24"/>
              </w:rPr>
              <w:t>；</w:t>
            </w:r>
            <w:r>
              <w:rPr>
                <w:rFonts w:cs="Times New Roman" w:asciiTheme="minorEastAsia" w:hAnsiTheme="minorEastAsia"/>
                <w:bCs/>
                <w:iCs/>
                <w:color w:val="000000"/>
                <w:kern w:val="0"/>
                <w:sz w:val="24"/>
                <w:szCs w:val="24"/>
              </w:rPr>
              <w:t>独立董事：</w:t>
            </w:r>
            <w:r>
              <w:rPr>
                <w:rFonts w:hint="eastAsia" w:cs="Times New Roman" w:asciiTheme="minorEastAsia" w:hAnsiTheme="minorEastAsia"/>
                <w:bCs/>
                <w:iCs/>
                <w:color w:val="000000"/>
                <w:kern w:val="0"/>
                <w:sz w:val="24"/>
                <w:szCs w:val="24"/>
                <w:lang w:val="en-US" w:eastAsia="zh-CN"/>
              </w:rPr>
              <w:t>肖英杰</w:t>
            </w:r>
            <w:r>
              <w:rPr>
                <w:rFonts w:hint="eastAsia" w:cs="Times New Roman" w:asciiTheme="minorEastAsia" w:hAnsiTheme="minorEastAsia"/>
                <w:bCs/>
                <w:iCs/>
                <w:color w:val="000000"/>
                <w:kern w:val="0"/>
                <w:sz w:val="24"/>
                <w:szCs w:val="24"/>
              </w:rPr>
              <w:t>；</w:t>
            </w:r>
            <w:r>
              <w:rPr>
                <w:rFonts w:cs="Times New Roman" w:asciiTheme="minorEastAsia" w:hAnsiTheme="minorEastAsia"/>
                <w:bCs/>
                <w:iCs/>
                <w:color w:val="000000"/>
                <w:kern w:val="0"/>
                <w:sz w:val="24"/>
                <w:szCs w:val="24"/>
              </w:rPr>
              <w:t>副总经理：</w:t>
            </w:r>
            <w:r>
              <w:rPr>
                <w:rFonts w:hint="eastAsia" w:cs="Times New Roman" w:asciiTheme="minorEastAsia" w:hAnsiTheme="minorEastAsia"/>
                <w:bCs/>
                <w:iCs/>
                <w:color w:val="000000"/>
                <w:kern w:val="0"/>
                <w:sz w:val="24"/>
                <w:szCs w:val="24"/>
                <w:lang w:val="en-US" w:eastAsia="zh-CN"/>
              </w:rPr>
              <w:t>吴昌攀</w:t>
            </w:r>
            <w:r>
              <w:rPr>
                <w:rFonts w:hint="eastAsia" w:cs="Times New Roman" w:asciiTheme="minorEastAsia" w:hAnsiTheme="minorEastAsia"/>
                <w:bCs/>
                <w:iCs/>
                <w:color w:val="000000"/>
                <w:kern w:val="0"/>
                <w:sz w:val="24"/>
                <w:szCs w:val="24"/>
              </w:rPr>
              <w:t>；董事会</w:t>
            </w:r>
            <w:r>
              <w:rPr>
                <w:rFonts w:hint="eastAsia" w:cs="Times New Roman" w:asciiTheme="minorEastAsia" w:hAnsiTheme="minorEastAsia"/>
                <w:bCs/>
                <w:iCs/>
                <w:color w:val="000000"/>
                <w:kern w:val="0"/>
                <w:sz w:val="24"/>
                <w:szCs w:val="24"/>
                <w:lang w:val="en-US" w:eastAsia="zh-CN"/>
              </w:rPr>
              <w:t>办公室主任</w:t>
            </w:r>
            <w:r>
              <w:rPr>
                <w:rFonts w:hint="eastAsia" w:cs="Times New Roman" w:asciiTheme="minorEastAsia" w:hAnsiTheme="minorEastAsia"/>
                <w:bCs/>
                <w:iCs/>
                <w:color w:val="000000"/>
                <w:kern w:val="0"/>
                <w:sz w:val="24"/>
                <w:szCs w:val="24"/>
              </w:rPr>
              <w:t>：</w:t>
            </w:r>
            <w:r>
              <w:rPr>
                <w:rFonts w:hint="eastAsia" w:cs="Times New Roman" w:asciiTheme="minorEastAsia" w:hAnsiTheme="minorEastAsia"/>
                <w:bCs/>
                <w:iCs/>
                <w:color w:val="000000"/>
                <w:kern w:val="0"/>
                <w:sz w:val="24"/>
                <w:szCs w:val="24"/>
                <w:lang w:val="en-US" w:eastAsia="zh-CN"/>
              </w:rPr>
              <w:t>蔡宇霞</w:t>
            </w:r>
            <w:r>
              <w:rPr>
                <w:rFonts w:hint="eastAsia" w:cs="Times New Roman" w:asciiTheme="minorEastAsia" w:hAnsiTheme="minorEastAsia"/>
                <w:bCs/>
                <w:iCs/>
                <w:color w:val="000000"/>
                <w:kern w:val="0"/>
                <w:sz w:val="24"/>
                <w:szCs w:val="24"/>
              </w:rPr>
              <w:t>；财务部部长：贺琦；业务部</w:t>
            </w:r>
            <w:r>
              <w:rPr>
                <w:rFonts w:hint="eastAsia" w:cs="Times New Roman" w:asciiTheme="minorEastAsia" w:hAnsiTheme="minorEastAsia"/>
                <w:bCs/>
                <w:iCs/>
                <w:color w:val="000000"/>
                <w:kern w:val="0"/>
                <w:sz w:val="24"/>
                <w:szCs w:val="24"/>
                <w:lang w:val="en-US" w:eastAsia="zh-CN"/>
              </w:rPr>
              <w:t>副</w:t>
            </w:r>
            <w:r>
              <w:rPr>
                <w:rFonts w:hint="eastAsia" w:cs="Times New Roman" w:asciiTheme="minorEastAsia" w:hAnsiTheme="minorEastAsia"/>
                <w:bCs/>
                <w:iCs/>
                <w:color w:val="000000"/>
                <w:kern w:val="0"/>
                <w:sz w:val="24"/>
                <w:szCs w:val="24"/>
              </w:rPr>
              <w:t>部长：</w:t>
            </w:r>
            <w:r>
              <w:rPr>
                <w:rFonts w:hint="eastAsia" w:cs="Times New Roman" w:asciiTheme="minorEastAsia" w:hAnsiTheme="minorEastAsia"/>
                <w:bCs/>
                <w:iCs/>
                <w:color w:val="000000"/>
                <w:kern w:val="0"/>
                <w:sz w:val="24"/>
                <w:szCs w:val="24"/>
                <w:lang w:val="en-US" w:eastAsia="zh-CN"/>
              </w:rPr>
              <w:t>张杨春</w:t>
            </w:r>
          </w:p>
        </w:tc>
      </w:tr>
      <w:tr w14:paraId="3422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1" w:hRule="atLeast"/>
        </w:trPr>
        <w:tc>
          <w:tcPr>
            <w:tcW w:w="2014" w:type="dxa"/>
            <w:shd w:val="clear" w:color="auto" w:fill="auto"/>
            <w:vAlign w:val="center"/>
          </w:tcPr>
          <w:p w14:paraId="28ED5F97">
            <w:pPr>
              <w:snapToGrid w:val="0"/>
              <w:spacing w:line="300" w:lineRule="auto"/>
              <w:jc w:val="left"/>
              <w:rPr>
                <w:rFonts w:cs="Times New Roman" w:asciiTheme="minorEastAsia" w:hAnsiTheme="minorEastAsia"/>
                <w:b/>
                <w:bCs/>
                <w:iCs/>
                <w:color w:val="000000"/>
                <w:kern w:val="0"/>
                <w:sz w:val="24"/>
                <w:szCs w:val="24"/>
              </w:rPr>
            </w:pPr>
            <w:r>
              <w:rPr>
                <w:rFonts w:cs="Times New Roman" w:asciiTheme="minorEastAsia" w:hAnsiTheme="minorEastAsia"/>
                <w:b/>
                <w:bCs/>
                <w:iCs/>
                <w:color w:val="000000"/>
                <w:kern w:val="0"/>
                <w:sz w:val="24"/>
                <w:szCs w:val="24"/>
              </w:rPr>
              <w:t>投资者关系活动主要内容介绍</w:t>
            </w:r>
          </w:p>
        </w:tc>
        <w:tc>
          <w:tcPr>
            <w:tcW w:w="7796" w:type="dxa"/>
            <w:shd w:val="clear" w:color="auto" w:fill="auto"/>
          </w:tcPr>
          <w:p w14:paraId="36DBEE56">
            <w:pPr>
              <w:pStyle w:val="8"/>
              <w:keepNext w:val="0"/>
              <w:keepLines w:val="0"/>
              <w:pageBreakBefore w:val="0"/>
              <w:widowControl w:val="0"/>
              <w:kinsoku/>
              <w:wordWrap/>
              <w:overflowPunct/>
              <w:topLinePunct w:val="0"/>
              <w:autoSpaceDE/>
              <w:autoSpaceDN/>
              <w:bidi w:val="0"/>
              <w:spacing w:before="0" w:beforeLines="0" w:after="0" w:afterLines="0" w:line="560" w:lineRule="exact"/>
              <w:textAlignment w:val="auto"/>
              <w:rPr>
                <w:rFonts w:asciiTheme="minorEastAsia" w:hAnsiTheme="minorEastAsia" w:eastAsiaTheme="minorEastAsia"/>
                <w:b/>
                <w:szCs w:val="24"/>
              </w:rPr>
            </w:pPr>
            <w:r>
              <w:rPr>
                <w:rFonts w:asciiTheme="minorEastAsia" w:hAnsiTheme="minorEastAsia" w:eastAsiaTheme="minorEastAsia"/>
                <w:b/>
                <w:szCs w:val="24"/>
              </w:rPr>
              <w:t>交流内容主要如下：</w:t>
            </w:r>
          </w:p>
          <w:p w14:paraId="03026938">
            <w:pPr>
              <w:keepNext w:val="0"/>
              <w:keepLines w:val="0"/>
              <w:pageBreakBefore w:val="0"/>
              <w:widowControl w:val="0"/>
              <w:kinsoku/>
              <w:wordWrap/>
              <w:overflowPunct/>
              <w:topLinePunct w:val="0"/>
              <w:autoSpaceDE/>
              <w:autoSpaceDN/>
              <w:bidi w:val="0"/>
              <w:spacing w:line="560" w:lineRule="exact"/>
              <w:ind w:firstLine="482" w:firstLineChars="200"/>
              <w:textAlignment w:val="auto"/>
              <w:rPr>
                <w:rFonts w:ascii="Calibri" w:hAnsi="Calibri" w:eastAsia="宋体" w:cs="Times New Roman"/>
                <w:b/>
              </w:rPr>
            </w:pPr>
            <w:r>
              <w:rPr>
                <w:rFonts w:hint="eastAsia" w:ascii="宋体"/>
                <w:b/>
                <w:sz w:val="24"/>
              </w:rPr>
              <w:t>1、公司在智慧绿色港口建设方面的进展如何？</w:t>
            </w:r>
          </w:p>
          <w:p w14:paraId="5A73C56A">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ascii="宋体"/>
                <w:sz w:val="24"/>
              </w:rPr>
            </w:pPr>
            <w:r>
              <w:rPr>
                <w:rFonts w:hint="eastAsia" w:ascii="宋体"/>
                <w:sz w:val="24"/>
              </w:rPr>
              <w:t>答:尊敬的投资者，您好！公司持续加大智慧化、绿色化投入，推动港口建设从“规模扩张”向“质量提升”转型。智慧化方面，公司自研TOS码头操作系统实现集装箱码头全覆盖，港口核心操作系统达成全域自主可控。智能生产作业系统、机器人、无人集卡、视觉大模型等新技术逐步落地，实现船舶精细化靠泊、堆场动态调度、集卡智能引导。鼠浪湖矿石中转码头生产作业直接相关岗位实现离岛作业。绿色化方面，全球最大、国内首批万吨级纯电动智能集装箱船投运，并开通了全国首条海河联运零碳航线。加大清洁能源推广应用，风电、光伏和储能项目加速落地，新能源发电量达5000万度，绿色低碳运营模式持续落地见效。感谢您的关注。</w:t>
            </w:r>
          </w:p>
          <w:p w14:paraId="02CBAF80">
            <w:pPr>
              <w:keepNext w:val="0"/>
              <w:keepLines w:val="0"/>
              <w:pageBreakBefore w:val="0"/>
              <w:widowControl w:val="0"/>
              <w:kinsoku/>
              <w:wordWrap/>
              <w:overflowPunct/>
              <w:topLinePunct w:val="0"/>
              <w:autoSpaceDE/>
              <w:autoSpaceDN/>
              <w:bidi w:val="0"/>
              <w:spacing w:line="560" w:lineRule="exact"/>
              <w:ind w:firstLine="482" w:firstLineChars="200"/>
              <w:textAlignment w:val="auto"/>
              <w:rPr>
                <w:rFonts w:ascii="Calibri"/>
                <w:b/>
              </w:rPr>
            </w:pPr>
            <w:r>
              <w:rPr>
                <w:rFonts w:hint="eastAsia" w:ascii="宋体"/>
                <w:b/>
                <w:sz w:val="24"/>
              </w:rPr>
              <w:t>2、请介绍公司现金分红的持续性和历史情况？</w:t>
            </w:r>
          </w:p>
          <w:p w14:paraId="5E30409B">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ascii="宋体"/>
                <w:sz w:val="24"/>
              </w:rPr>
            </w:pPr>
            <w:r>
              <w:rPr>
                <w:rFonts w:hint="eastAsia" w:ascii="宋体"/>
                <w:sz w:val="24"/>
              </w:rPr>
              <w:t>答:尊敬的投资者，您好！公司积极响应中国证监会号召将现金分红作为回报投资者的主要方式，上市至今每个年度均坚持实施现金分红，共计分红18次，已累计分派现金股利212亿元。公司近年的现金分红率都达到当年可分配利润的60%，2025年度该比例进一步提升至65%，现金分红金额创上市以来新高。公司将秉持现金分红回馈投资者的原则，落实“年度+中期”相结合的常态化分红模式，保持分红政策、分红比例连续稳定，持续稳固投资者分红预期。感谢您的关注。</w:t>
            </w:r>
          </w:p>
          <w:p w14:paraId="0AE2950A">
            <w:pPr>
              <w:keepNext w:val="0"/>
              <w:keepLines w:val="0"/>
              <w:pageBreakBefore w:val="0"/>
              <w:widowControl w:val="0"/>
              <w:kinsoku/>
              <w:wordWrap/>
              <w:overflowPunct/>
              <w:topLinePunct w:val="0"/>
              <w:autoSpaceDE/>
              <w:autoSpaceDN/>
              <w:bidi w:val="0"/>
              <w:spacing w:line="560" w:lineRule="exact"/>
              <w:ind w:firstLine="482" w:firstLineChars="200"/>
              <w:textAlignment w:val="auto"/>
              <w:rPr>
                <w:rFonts w:ascii="Calibri"/>
                <w:b/>
              </w:rPr>
            </w:pPr>
            <w:r>
              <w:rPr>
                <w:rFonts w:hint="eastAsia" w:ascii="宋体"/>
                <w:b/>
                <w:sz w:val="24"/>
              </w:rPr>
              <w:t>3、请介绍一下公司2026年半年度利润分配方案？</w:t>
            </w:r>
          </w:p>
          <w:p w14:paraId="130132B0">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ascii="宋体"/>
                <w:sz w:val="24"/>
              </w:rPr>
            </w:pPr>
            <w:r>
              <w:rPr>
                <w:rFonts w:hint="eastAsia" w:ascii="宋体"/>
                <w:sz w:val="24"/>
              </w:rPr>
              <w:t>答:尊敬的投资者，您好！公司2026年半年度利润分配方案为：向全体股东每10股派发现金红利人民币0.31元（含税），合计派发现金红利约人民币6.03亿元（含税）。9月17日，公司已完成现金红利发放。感谢您的关注。</w:t>
            </w:r>
          </w:p>
          <w:p w14:paraId="673E1294">
            <w:pPr>
              <w:keepNext w:val="0"/>
              <w:keepLines w:val="0"/>
              <w:pageBreakBefore w:val="0"/>
              <w:widowControl w:val="0"/>
              <w:kinsoku/>
              <w:wordWrap/>
              <w:overflowPunct/>
              <w:topLinePunct w:val="0"/>
              <w:autoSpaceDE/>
              <w:autoSpaceDN/>
              <w:bidi w:val="0"/>
              <w:spacing w:line="560" w:lineRule="exact"/>
              <w:ind w:firstLine="482" w:firstLineChars="200"/>
              <w:textAlignment w:val="auto"/>
              <w:rPr>
                <w:rFonts w:hint="eastAsia" w:ascii="Calibri" w:eastAsiaTheme="minorEastAsia"/>
                <w:b/>
                <w:lang w:eastAsia="zh-CN"/>
              </w:rPr>
            </w:pPr>
            <w:r>
              <w:rPr>
                <w:rFonts w:hint="eastAsia" w:ascii="宋体"/>
                <w:b/>
                <w:sz w:val="24"/>
              </w:rPr>
              <w:t>4、请朱总介绍一下公司上半年业绩情况及主要业务</w:t>
            </w:r>
            <w:r>
              <w:rPr>
                <w:rFonts w:hint="eastAsia" w:ascii="宋体"/>
                <w:b/>
                <w:sz w:val="24"/>
                <w:lang w:eastAsia="zh-CN"/>
              </w:rPr>
              <w:t>。</w:t>
            </w:r>
          </w:p>
          <w:p w14:paraId="67A0E4DD">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ascii="宋体"/>
                <w:sz w:val="24"/>
              </w:rPr>
            </w:pPr>
            <w:r>
              <w:rPr>
                <w:rFonts w:hint="eastAsia" w:ascii="宋体"/>
                <w:sz w:val="24"/>
              </w:rPr>
              <w:t>答:尊敬的投资者，您好！2026年上半年，公司实现营业收入168.73亿元，同比增长12.76%；实现归属于上市公司股东的净利润25.43亿元，同比下降2.12%；实现归属于上市公司股东的扣非净利润23.64亿元，同比增长2.53%。集装箱装卸及相关业务板块营业收入同比增长16.87%，原油、铁矿石等其他货物装卸及相关业务板块营业收入同比下降1.96%，综合物流及其他业务板块营业收入同比增长10.42%。感谢您的关注。</w:t>
            </w:r>
          </w:p>
          <w:p w14:paraId="74988812">
            <w:pPr>
              <w:keepNext w:val="0"/>
              <w:keepLines w:val="0"/>
              <w:pageBreakBefore w:val="0"/>
              <w:widowControl w:val="0"/>
              <w:kinsoku/>
              <w:wordWrap/>
              <w:overflowPunct/>
              <w:topLinePunct w:val="0"/>
              <w:autoSpaceDE/>
              <w:autoSpaceDN/>
              <w:bidi w:val="0"/>
              <w:spacing w:line="560" w:lineRule="exact"/>
              <w:ind w:firstLine="482" w:firstLineChars="200"/>
              <w:textAlignment w:val="auto"/>
              <w:rPr>
                <w:rFonts w:ascii="Calibri"/>
                <w:b/>
              </w:rPr>
            </w:pPr>
            <w:r>
              <w:rPr>
                <w:rFonts w:hint="eastAsia" w:ascii="宋体"/>
                <w:b/>
                <w:sz w:val="24"/>
              </w:rPr>
              <w:t>5、公司核心竞争力是什么？</w:t>
            </w:r>
          </w:p>
          <w:p w14:paraId="666841F2">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ascii="宋体"/>
                <w:sz w:val="24"/>
              </w:rPr>
            </w:pPr>
            <w:r>
              <w:rPr>
                <w:rFonts w:hint="eastAsia" w:ascii="宋体"/>
                <w:sz w:val="24"/>
              </w:rPr>
              <w:t>答:尊敬的投资者，您好！公司的核心竞争力主要有以下五个方面：一是政策优势叠加，赋能港口发展。在国家和省级相关战略的引领下，港口中长期发展空间进一步拓宽，持续推进世界一流强港建设，港口生产屡创历史新高，港口营商环境不断优化。二是区域优势明显，自然条件优越。宁波舟山港向内连接全国沿海港口，覆盖我国大陆最具活力的长三角经济圈；向外是中国沿海向各大洲港口运输的理想集散地。自然条件优越，深水岸线资源丰富，是世界少有的深水良港。三是港口功能齐全，集疏运体系完善。宁波舟山港具备各主要货种全球最大船型的靠泊能力，拥有完备的综合货物处理体系及配套设施，码头服务效率保持全球港口领先地位。四是智慧绿色港口建设水平领先。高质量打造智慧标杆，高水平引领绿色转型。五是公司创建的优秀品牌、先进的服务理念、良好的企业文化和高效的运作模式，是公司的重要优势。感谢您的关注。</w:t>
            </w:r>
          </w:p>
          <w:p w14:paraId="6D3DA86B">
            <w:pPr>
              <w:keepNext w:val="0"/>
              <w:keepLines w:val="0"/>
              <w:pageBreakBefore w:val="0"/>
              <w:widowControl w:val="0"/>
              <w:kinsoku/>
              <w:wordWrap/>
              <w:overflowPunct/>
              <w:topLinePunct w:val="0"/>
              <w:autoSpaceDE/>
              <w:autoSpaceDN/>
              <w:bidi w:val="0"/>
              <w:spacing w:line="560" w:lineRule="exact"/>
              <w:ind w:firstLine="482" w:firstLineChars="200"/>
              <w:textAlignment w:val="auto"/>
              <w:rPr>
                <w:rFonts w:ascii="Calibri"/>
                <w:b/>
              </w:rPr>
            </w:pPr>
            <w:r>
              <w:rPr>
                <w:rFonts w:hint="eastAsia" w:ascii="宋体"/>
                <w:b/>
                <w:sz w:val="24"/>
              </w:rPr>
              <w:t>6、公司怎样应对港口产能结构性过剩及航运周期性波动风险？</w:t>
            </w:r>
          </w:p>
          <w:p w14:paraId="42FB1BF8">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ascii="宋体"/>
                <w:sz w:val="24"/>
              </w:rPr>
            </w:pPr>
            <w:r>
              <w:rPr>
                <w:rFonts w:hint="eastAsia" w:ascii="宋体"/>
                <w:sz w:val="24"/>
              </w:rPr>
              <w:t>答:尊敬的投资者，您好！公司将始终根据国际、国内经济结构变化情况，一体化统筹全省沿海港口运营、规划、建设，优化调整产能结构；深化与全球头部船公司以及大客户的长期合作，加密欧美远洋干线布局，拓展东南亚、拉美、非洲等新兴市场航线；根据业务发展状况，积极拓展综合物流服务，提升全球端到端供应链服务能力。感谢您的关注。</w:t>
            </w:r>
          </w:p>
          <w:p w14:paraId="392CF289">
            <w:pPr>
              <w:keepNext w:val="0"/>
              <w:keepLines w:val="0"/>
              <w:pageBreakBefore w:val="0"/>
              <w:widowControl w:val="0"/>
              <w:kinsoku/>
              <w:wordWrap/>
              <w:overflowPunct/>
              <w:topLinePunct w:val="0"/>
              <w:autoSpaceDE/>
              <w:autoSpaceDN/>
              <w:bidi w:val="0"/>
              <w:spacing w:line="560" w:lineRule="exact"/>
              <w:ind w:firstLine="482" w:firstLineChars="200"/>
              <w:textAlignment w:val="auto"/>
              <w:rPr>
                <w:rFonts w:ascii="Calibri"/>
                <w:b/>
              </w:rPr>
            </w:pPr>
            <w:r>
              <w:rPr>
                <w:rFonts w:hint="eastAsia" w:ascii="宋体"/>
                <w:b/>
                <w:sz w:val="24"/>
              </w:rPr>
              <w:t>7、公司上半年经营活动产生的现金流量净额同比大幅下降，具体什么原因？</w:t>
            </w:r>
          </w:p>
          <w:p w14:paraId="64402262">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ascii="宋体"/>
                <w:sz w:val="24"/>
              </w:rPr>
            </w:pPr>
            <w:r>
              <w:rPr>
                <w:rFonts w:hint="eastAsia" w:ascii="宋体"/>
                <w:sz w:val="24"/>
              </w:rPr>
              <w:t>答:尊敬的投资者，您好。公司上半年经营活动产生的现金流量净额为18.20亿元，同比下降81.02%。变动原因包括以下几点：一方面除下属财务公司外的公司经营活动产生的现金流量净额同比增加12.28亿元，同比增长2.52%；另一方面财务公司的现金流量净额同比减少78.91亿元，同比下降167.48%，其中，吸收存款净减少额同比增加60.27亿元，买入返售金融资产净增加额同比增加10.99亿元，向其他金融机构拆出资金净减少额同比减少8.7亿元。感谢您的关注。</w:t>
            </w:r>
          </w:p>
          <w:p w14:paraId="7316CE9B">
            <w:pPr>
              <w:keepNext w:val="0"/>
              <w:keepLines w:val="0"/>
              <w:pageBreakBefore w:val="0"/>
              <w:widowControl w:val="0"/>
              <w:kinsoku/>
              <w:wordWrap/>
              <w:overflowPunct/>
              <w:topLinePunct w:val="0"/>
              <w:autoSpaceDE/>
              <w:autoSpaceDN/>
              <w:bidi w:val="0"/>
              <w:spacing w:line="560" w:lineRule="exact"/>
              <w:ind w:firstLine="482" w:firstLineChars="200"/>
              <w:textAlignment w:val="auto"/>
              <w:rPr>
                <w:rFonts w:ascii="Calibri"/>
              </w:rPr>
            </w:pPr>
            <w:r>
              <w:rPr>
                <w:rFonts w:hint="eastAsia" w:ascii="宋体"/>
                <w:b/>
                <w:sz w:val="24"/>
              </w:rPr>
              <w:t>8、请介绍一下公司2026年上半年经营业绩情况？</w:t>
            </w:r>
          </w:p>
          <w:p w14:paraId="0B514206">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ascii="宋体"/>
                <w:sz w:val="24"/>
              </w:rPr>
            </w:pPr>
            <w:r>
              <w:rPr>
                <w:rFonts w:hint="eastAsia" w:ascii="宋体"/>
                <w:sz w:val="24"/>
              </w:rPr>
              <w:t>答:尊敬的投资者，您好。2026年上半年，公司实现营业收入168.73亿元，同比增长12.76%；实现归属于上市公司股东的净利润25.43亿元，同比下降2.12%；实现归属于上市公司股东的扣非净利润23.64亿元，同比增长2.53%。感谢您的关注。</w:t>
            </w:r>
          </w:p>
          <w:p w14:paraId="79F186CA">
            <w:pPr>
              <w:keepNext w:val="0"/>
              <w:keepLines w:val="0"/>
              <w:pageBreakBefore w:val="0"/>
              <w:widowControl w:val="0"/>
              <w:kinsoku/>
              <w:wordWrap/>
              <w:overflowPunct/>
              <w:topLinePunct w:val="0"/>
              <w:autoSpaceDE/>
              <w:autoSpaceDN/>
              <w:bidi w:val="0"/>
              <w:spacing w:line="560" w:lineRule="exact"/>
              <w:ind w:firstLine="482" w:firstLineChars="200"/>
              <w:textAlignment w:val="auto"/>
              <w:rPr>
                <w:rFonts w:ascii="Calibri"/>
                <w:b/>
              </w:rPr>
            </w:pPr>
            <w:r>
              <w:rPr>
                <w:rFonts w:hint="eastAsia" w:ascii="宋体"/>
                <w:b/>
                <w:sz w:val="24"/>
              </w:rPr>
              <w:t>9、依托上半年，公司下半年主要战略及业务发力点是什么？</w:t>
            </w:r>
          </w:p>
          <w:p w14:paraId="028F1A6F">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ascii="宋体"/>
                <w:sz w:val="24"/>
              </w:rPr>
            </w:pPr>
            <w:r>
              <w:rPr>
                <w:rFonts w:hint="eastAsia" w:ascii="宋体"/>
                <w:sz w:val="24"/>
              </w:rPr>
              <w:t>答:尊敬的投资者，您好！公司2026年预计完成货物吞吐量12.5亿吨，集装箱吞吐量5765万标箱。为完成上述目标任务，公司将全力拓展市场，在推动港口生产上取得新突破。一是拓展集装箱货源。全力推动集装箱业务发展再上台阶。持续深化与代理、船公司、大客户的紧密合作，聚焦重点货种，持续巩固进口专班工作制度，强化统筹协同效能。二是扩大散杂货规模。聚焦稳量提质，采取灵活策略争揽市场货源，全力巩固散杂货规模地位。矿石业务，加强“一船两港”靠泊衔接，深化“两港一航”联合揽货，做大多环节跨货种“双重运输”业务；原油业务，专项攻坚水路运输能力提升，全面提升装船效率；煤炭业务，加快煤炭中转节奏，深化铁路合作，优化物流模式。三是深耕省内外腹地。不断发挥多式联运优势，针对重点区域、重点线路、重点客户、重点项目制定有效市场开发政策。推动海铁双快班列常态化运作，大力推动船公司CCA（Connected Carrier Agreement，全程提单）业务。感谢您的关注。</w:t>
            </w:r>
          </w:p>
          <w:p w14:paraId="4B0BD37A">
            <w:pPr>
              <w:keepNext w:val="0"/>
              <w:keepLines w:val="0"/>
              <w:pageBreakBefore w:val="0"/>
              <w:widowControl w:val="0"/>
              <w:kinsoku/>
              <w:wordWrap/>
              <w:overflowPunct/>
              <w:topLinePunct w:val="0"/>
              <w:autoSpaceDE/>
              <w:autoSpaceDN/>
              <w:bidi w:val="0"/>
              <w:spacing w:line="560" w:lineRule="exact"/>
              <w:ind w:firstLine="480" w:firstLineChars="200"/>
              <w:textAlignment w:val="auto"/>
              <w:rPr>
                <w:rFonts w:asciiTheme="minorEastAsia" w:hAnsiTheme="minorEastAsia" w:eastAsiaTheme="minorEastAsia"/>
                <w:szCs w:val="24"/>
              </w:rPr>
            </w:pPr>
            <w:bookmarkStart w:id="0" w:name="_GoBack"/>
            <w:bookmarkEnd w:id="0"/>
            <w:r>
              <w:rPr>
                <w:rFonts w:hint="eastAsia" w:ascii="宋体"/>
                <w:sz w:val="24"/>
              </w:rPr>
              <w:t>注：投资者可以通过上证路演中心（https://roadshow.sseinfo.com/）查看本次业绩说明会的召开情况及主要内容。</w:t>
            </w:r>
          </w:p>
        </w:tc>
      </w:tr>
      <w:tr w14:paraId="7518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shd w:val="clear" w:color="auto" w:fill="auto"/>
            <w:vAlign w:val="center"/>
          </w:tcPr>
          <w:p w14:paraId="5FF46F6D">
            <w:pPr>
              <w:snapToGrid w:val="0"/>
              <w:spacing w:line="300" w:lineRule="auto"/>
              <w:jc w:val="left"/>
              <w:rPr>
                <w:rFonts w:cs="Times New Roman" w:asciiTheme="minorEastAsia" w:hAnsiTheme="minorEastAsia"/>
                <w:b/>
                <w:bCs/>
                <w:iCs/>
                <w:color w:val="000000"/>
                <w:kern w:val="0"/>
                <w:sz w:val="24"/>
                <w:szCs w:val="24"/>
              </w:rPr>
            </w:pPr>
            <w:r>
              <w:rPr>
                <w:rFonts w:cs="Times New Roman" w:asciiTheme="minorEastAsia" w:hAnsiTheme="minorEastAsia"/>
                <w:b/>
                <w:bCs/>
                <w:iCs/>
                <w:color w:val="000000"/>
                <w:kern w:val="0"/>
                <w:sz w:val="24"/>
                <w:szCs w:val="24"/>
              </w:rPr>
              <w:t>附件清单（如有）</w:t>
            </w:r>
          </w:p>
        </w:tc>
        <w:tc>
          <w:tcPr>
            <w:tcW w:w="7796" w:type="dxa"/>
            <w:shd w:val="clear" w:color="auto" w:fill="auto"/>
          </w:tcPr>
          <w:p w14:paraId="0A787320">
            <w:pPr>
              <w:snapToGrid w:val="0"/>
              <w:spacing w:line="300" w:lineRule="auto"/>
              <w:jc w:val="left"/>
              <w:rPr>
                <w:rFonts w:cs="Times New Roman" w:asciiTheme="minorEastAsia" w:hAnsiTheme="minorEastAsia"/>
                <w:bCs/>
                <w:iCs/>
                <w:color w:val="000000"/>
                <w:kern w:val="0"/>
                <w:sz w:val="24"/>
                <w:szCs w:val="24"/>
              </w:rPr>
            </w:pPr>
            <w:r>
              <w:rPr>
                <w:rFonts w:cs="Times New Roman" w:asciiTheme="minorEastAsia" w:hAnsiTheme="minorEastAsia"/>
                <w:bCs/>
                <w:iCs/>
                <w:color w:val="000000"/>
                <w:kern w:val="0"/>
                <w:sz w:val="24"/>
                <w:szCs w:val="24"/>
              </w:rPr>
              <w:t>无</w:t>
            </w:r>
          </w:p>
        </w:tc>
      </w:tr>
      <w:tr w14:paraId="30AF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shd w:val="clear" w:color="auto" w:fill="auto"/>
            <w:vAlign w:val="center"/>
          </w:tcPr>
          <w:p w14:paraId="36B9826A">
            <w:pPr>
              <w:snapToGrid w:val="0"/>
              <w:spacing w:line="300" w:lineRule="auto"/>
              <w:jc w:val="left"/>
              <w:rPr>
                <w:rFonts w:cs="Times New Roman" w:asciiTheme="minorEastAsia" w:hAnsiTheme="minorEastAsia"/>
                <w:b/>
                <w:bCs/>
                <w:iCs/>
                <w:color w:val="000000"/>
                <w:kern w:val="0"/>
                <w:sz w:val="24"/>
                <w:szCs w:val="24"/>
              </w:rPr>
            </w:pPr>
            <w:r>
              <w:rPr>
                <w:rFonts w:cs="Times New Roman" w:asciiTheme="minorEastAsia" w:hAnsiTheme="minorEastAsia"/>
                <w:b/>
                <w:bCs/>
                <w:iCs/>
                <w:color w:val="000000"/>
                <w:kern w:val="0"/>
                <w:sz w:val="24"/>
                <w:szCs w:val="24"/>
              </w:rPr>
              <w:t>访谈日期</w:t>
            </w:r>
          </w:p>
        </w:tc>
        <w:tc>
          <w:tcPr>
            <w:tcW w:w="7796" w:type="dxa"/>
            <w:shd w:val="clear" w:color="auto" w:fill="auto"/>
            <w:vAlign w:val="center"/>
          </w:tcPr>
          <w:p w14:paraId="40539DD5">
            <w:pPr>
              <w:snapToGrid w:val="0"/>
              <w:spacing w:line="300" w:lineRule="auto"/>
              <w:jc w:val="left"/>
              <w:rPr>
                <w:rFonts w:cs="Times New Roman" w:asciiTheme="minorEastAsia" w:hAnsiTheme="minorEastAsia"/>
                <w:bCs/>
                <w:iCs/>
                <w:color w:val="000000"/>
                <w:kern w:val="0"/>
                <w:sz w:val="24"/>
                <w:szCs w:val="24"/>
              </w:rPr>
            </w:pPr>
            <w:r>
              <w:rPr>
                <w:rFonts w:cs="Times New Roman" w:asciiTheme="minorEastAsia" w:hAnsiTheme="minorEastAsia"/>
                <w:bCs/>
                <w:iCs/>
                <w:color w:val="000000"/>
                <w:kern w:val="0"/>
                <w:sz w:val="24"/>
                <w:szCs w:val="24"/>
              </w:rPr>
              <w:t>202</w:t>
            </w:r>
            <w:r>
              <w:rPr>
                <w:rFonts w:hint="eastAsia" w:cs="Times New Roman" w:asciiTheme="minorEastAsia" w:hAnsiTheme="minorEastAsia"/>
                <w:bCs/>
                <w:iCs/>
                <w:color w:val="000000"/>
                <w:kern w:val="0"/>
                <w:sz w:val="24"/>
                <w:szCs w:val="24"/>
                <w:lang w:val="en-US" w:eastAsia="zh-CN"/>
              </w:rPr>
              <w:t>6</w:t>
            </w:r>
            <w:r>
              <w:rPr>
                <w:rFonts w:cs="Times New Roman" w:asciiTheme="minorEastAsia" w:hAnsiTheme="minorEastAsia"/>
                <w:bCs/>
                <w:iCs/>
                <w:color w:val="000000"/>
                <w:kern w:val="0"/>
                <w:sz w:val="24"/>
                <w:szCs w:val="24"/>
              </w:rPr>
              <w:t>年</w:t>
            </w:r>
            <w:r>
              <w:rPr>
                <w:rFonts w:hint="eastAsia" w:cs="Times New Roman" w:asciiTheme="minorEastAsia" w:hAnsiTheme="minorEastAsia"/>
                <w:bCs/>
                <w:iCs/>
                <w:color w:val="000000"/>
                <w:kern w:val="0"/>
                <w:sz w:val="24"/>
                <w:szCs w:val="24"/>
                <w:lang w:val="en-US" w:eastAsia="zh-CN"/>
              </w:rPr>
              <w:t>9</w:t>
            </w:r>
            <w:r>
              <w:rPr>
                <w:rFonts w:cs="Times New Roman" w:asciiTheme="minorEastAsia" w:hAnsiTheme="minorEastAsia"/>
                <w:bCs/>
                <w:iCs/>
                <w:color w:val="000000"/>
                <w:kern w:val="0"/>
                <w:sz w:val="24"/>
                <w:szCs w:val="24"/>
              </w:rPr>
              <w:t>月</w:t>
            </w:r>
            <w:r>
              <w:rPr>
                <w:rFonts w:hint="eastAsia" w:cs="Times New Roman" w:asciiTheme="minorEastAsia" w:hAnsiTheme="minorEastAsia"/>
                <w:bCs/>
                <w:iCs/>
                <w:color w:val="000000"/>
                <w:kern w:val="0"/>
                <w:sz w:val="24"/>
                <w:szCs w:val="24"/>
              </w:rPr>
              <w:t>2</w:t>
            </w:r>
            <w:r>
              <w:rPr>
                <w:rFonts w:hint="eastAsia" w:cs="Times New Roman" w:asciiTheme="minorEastAsia" w:hAnsiTheme="minorEastAsia"/>
                <w:bCs/>
                <w:iCs/>
                <w:color w:val="000000"/>
                <w:kern w:val="0"/>
                <w:sz w:val="24"/>
                <w:szCs w:val="24"/>
                <w:lang w:val="en-US" w:eastAsia="zh-CN"/>
              </w:rPr>
              <w:t>3</w:t>
            </w:r>
            <w:r>
              <w:rPr>
                <w:rFonts w:cs="Times New Roman" w:asciiTheme="minorEastAsia" w:hAnsiTheme="minorEastAsia"/>
                <w:bCs/>
                <w:iCs/>
                <w:color w:val="000000"/>
                <w:kern w:val="0"/>
                <w:sz w:val="24"/>
                <w:szCs w:val="24"/>
              </w:rPr>
              <w:t>日</w:t>
            </w:r>
          </w:p>
        </w:tc>
      </w:tr>
      <w:tr w14:paraId="2D9D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shd w:val="clear" w:color="auto" w:fill="auto"/>
            <w:vAlign w:val="center"/>
          </w:tcPr>
          <w:p w14:paraId="0C38D953">
            <w:pPr>
              <w:snapToGrid w:val="0"/>
              <w:spacing w:line="300" w:lineRule="auto"/>
              <w:jc w:val="left"/>
              <w:rPr>
                <w:rFonts w:cs="Times New Roman" w:asciiTheme="minorEastAsia" w:hAnsiTheme="minorEastAsia"/>
                <w:b/>
                <w:bCs/>
                <w:iCs/>
                <w:color w:val="000000"/>
                <w:kern w:val="0"/>
                <w:sz w:val="24"/>
                <w:szCs w:val="24"/>
              </w:rPr>
            </w:pPr>
            <w:r>
              <w:rPr>
                <w:rFonts w:cs="Times New Roman" w:asciiTheme="minorEastAsia" w:hAnsiTheme="minorEastAsia"/>
                <w:b/>
                <w:bCs/>
                <w:iCs/>
                <w:color w:val="000000"/>
                <w:kern w:val="0"/>
                <w:sz w:val="24"/>
                <w:szCs w:val="24"/>
              </w:rPr>
              <w:t>备注</w:t>
            </w:r>
          </w:p>
        </w:tc>
        <w:tc>
          <w:tcPr>
            <w:tcW w:w="7796" w:type="dxa"/>
            <w:shd w:val="clear" w:color="auto" w:fill="auto"/>
            <w:vAlign w:val="center"/>
          </w:tcPr>
          <w:p w14:paraId="17F3CC13">
            <w:pPr>
              <w:snapToGrid w:val="0"/>
              <w:spacing w:line="300" w:lineRule="auto"/>
              <w:jc w:val="left"/>
              <w:rPr>
                <w:rFonts w:cs="Times New Roman" w:asciiTheme="minorEastAsia" w:hAnsiTheme="minorEastAsia"/>
                <w:bCs/>
                <w:iCs/>
                <w:color w:val="000000"/>
                <w:kern w:val="0"/>
                <w:sz w:val="24"/>
                <w:szCs w:val="24"/>
              </w:rPr>
            </w:pPr>
            <w:r>
              <w:rPr>
                <w:rFonts w:cs="Times New Roman" w:asciiTheme="minorEastAsia" w:hAnsiTheme="minorEastAsia"/>
                <w:bCs/>
                <w:iCs/>
                <w:color w:val="000000"/>
                <w:kern w:val="0"/>
                <w:sz w:val="24"/>
                <w:szCs w:val="24"/>
              </w:rPr>
              <w:t>公司与投资者进行了充分的沟通交流，并严格按照有关制度规定，保证信息披露的真实、准确、完整、及时、公平，没有出现未公开重大信息泄露等情况。</w:t>
            </w:r>
          </w:p>
        </w:tc>
      </w:tr>
    </w:tbl>
    <w:p w14:paraId="79550180">
      <w:pPr>
        <w:keepNext/>
        <w:keepLines/>
        <w:spacing w:before="260" w:after="260" w:line="360" w:lineRule="auto"/>
        <w:outlineLvl w:val="1"/>
      </w:pPr>
    </w:p>
    <w:p w14:paraId="4EEB47DF"/>
    <w:sectPr>
      <w:headerReference r:id="rId3" w:type="default"/>
      <w:footerReference r:id="rId4" w:type="default"/>
      <w:pgSz w:w="11906" w:h="16838"/>
      <w:pgMar w:top="1440" w:right="1800" w:bottom="1440" w:left="1800"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5735236"/>
    </w:sdtPr>
    <w:sdtContent>
      <w:p w14:paraId="1A840E44">
        <w:pPr>
          <w:pStyle w:val="2"/>
          <w:jc w:val="center"/>
        </w:pPr>
        <w:r>
          <w:fldChar w:fldCharType="begin"/>
        </w:r>
        <w:r>
          <w:instrText xml:space="preserve">PAGE   \* MERGEFORMAT</w:instrText>
        </w:r>
        <w:r>
          <w:fldChar w:fldCharType="separate"/>
        </w:r>
        <w:r>
          <w:rPr>
            <w:lang w:val="zh-CN"/>
          </w:rPr>
          <w:t>1</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E99E6">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416823"/>
    <w:rsid w:val="000E2355"/>
    <w:rsid w:val="003913A1"/>
    <w:rsid w:val="00DF7E33"/>
    <w:rsid w:val="1B416823"/>
    <w:rsid w:val="363B39E0"/>
    <w:rsid w:val="5DC104AE"/>
    <w:rsid w:val="750C1F2B"/>
    <w:rsid w:val="75E55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7">
    <w:name w:val="Hyperlink"/>
    <w:basedOn w:val="6"/>
    <w:unhideWhenUsed/>
    <w:qFormat/>
    <w:uiPriority w:val="99"/>
    <w:rPr>
      <w:color w:val="0563C1"/>
      <w:u w:val="single"/>
    </w:rPr>
  </w:style>
  <w:style w:type="paragraph" w:customStyle="1" w:styleId="8">
    <w:name w:val="005正文"/>
    <w:basedOn w:val="1"/>
    <w:qFormat/>
    <w:uiPriority w:val="0"/>
    <w:pPr>
      <w:adjustRightInd w:val="0"/>
      <w:snapToGrid w:val="0"/>
      <w:spacing w:before="156" w:beforeLines="50" w:after="156" w:afterLines="50" w:line="400" w:lineRule="exact"/>
    </w:pPr>
    <w:rPr>
      <w:rFonts w:ascii="Times New Roman" w:hAnsi="Times New Roman" w:eastAsia="宋体" w:cs="Times New Roman"/>
      <w:bCs/>
      <w:iCs/>
      <w:color w:val="00000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4571</Words>
  <Characters>4877</Characters>
  <Lines>33</Lines>
  <Paragraphs>9</Paragraphs>
  <TotalTime>15</TotalTime>
  <ScaleCrop>false</ScaleCrop>
  <LinksUpToDate>false</LinksUpToDate>
  <CharactersWithSpaces>4959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2025-09-02T05:19:00Z</dcterms:created>
  <dc:creator>何颖</dc:creator>
  <cp:lastModifiedBy>LEGANSHU</cp:lastModifiedBy>
  <dcterms:modified xsi:type="dcterms:W3CDTF">2026-09-23T06:24:31Z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eyJoZGlkIjoiODQzYWNjYWZhMmVjYTBhODFkOTM3OTRjNzc5MzFhZTEiLCJ1c2VySWQiOiIyNDA1OTcxNTgifQ==</vt:lpwstr>
  </property>
  <property fmtid="{D5CDD505-2E9C-101B-9397-08002B2CF9AE}" pid="4" name="ICV">
    <vt:lpwstr>41777473F7534719BC3D90DB8FD93DF2_13</vt:lpwstr>
  </property>
</Properties>
</file>