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r>
        <w:t>标题：关于上海新华传媒股份有限公司有关股价波动事项的监管工作函</w:t>
      </w:r>
    </w:p>
    <w:p>
      <w:r>
        <w:t>证券代码：600825</w:t>
      </w:r>
    </w:p>
    <w:p>
      <w:r>
        <w:t>证券简称：新华传媒</w:t>
      </w:r>
    </w:p>
    <w:p>
      <w:r>
        <w:t>监管类型：监管工作函</w:t>
      </w:r>
    </w:p>
    <w:p>
      <w:r>
        <w:t>涉及对象：上市公司</w:t>
      </w:r>
    </w:p>
    <w:p>
      <w:r>
        <w:t>处分日期：2026-09-28</w:t>
      </w:r>
    </w:p>
    <w:p>
      <w:r>
        <w:t>处理事由：关于上海新华传媒股份有限公司有关股价波动事项的监管工作函</w:t>
      </w:r>
    </w:p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2026-09-28T09:50:00Z</dcterms:created>
  <dc:creator>Apache POI</dc:creator>
</cp:coreProperties>
</file>