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34B94">
      <w:pPr>
        <w:pStyle w:val="2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sz w:val="20"/>
          <w:szCs w:val="20"/>
          <w:lang w:val="en-US"/>
        </w:rPr>
        <w:t>证券代码：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601595</w:t>
      </w:r>
      <w:r>
        <w:rPr>
          <w:rFonts w:hint="eastAsia" w:ascii="宋体" w:hAnsi="宋体" w:eastAsia="宋体" w:cs="宋体"/>
          <w:sz w:val="20"/>
          <w:szCs w:val="20"/>
          <w:lang w:val="en-US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             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0"/>
          <w:szCs w:val="20"/>
          <w:lang w:val="en-US"/>
        </w:rPr>
        <w:t>证券简称：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上海电影</w:t>
      </w:r>
    </w:p>
    <w:p w14:paraId="72D37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100" w:line="24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上海电影股份有限公司</w:t>
      </w:r>
    </w:p>
    <w:p w14:paraId="72119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202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年半年度业绩说明会</w:t>
      </w:r>
    </w:p>
    <w:p w14:paraId="4DB08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afterLines="100" w:line="24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投资者关系活动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记录表</w:t>
      </w:r>
    </w:p>
    <w:tbl>
      <w:tblPr>
        <w:tblStyle w:val="10"/>
        <w:tblW w:w="870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2978"/>
        <w:gridCol w:w="5730"/>
      </w:tblGrid>
      <w:tr w14:paraId="671BC7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1" w:hRule="atLeast"/>
          <w:jc w:val="center"/>
        </w:trPr>
        <w:tc>
          <w:tcPr>
            <w:tcW w:w="2978" w:type="dxa"/>
            <w:vAlign w:val="center"/>
          </w:tcPr>
          <w:p w14:paraId="061E3B3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 w:line="240" w:lineRule="exact"/>
              <w:ind w:left="107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投资者关系活动类别</w:t>
            </w:r>
          </w:p>
        </w:tc>
        <w:tc>
          <w:tcPr>
            <w:tcW w:w="5730" w:type="dxa"/>
            <w:vAlign w:val="center"/>
          </w:tcPr>
          <w:p w14:paraId="3539444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7" w:line="2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05DBCEA">
            <w:pPr>
              <w:pStyle w:val="13"/>
              <w:keepNext w:val="0"/>
              <w:keepLines w:val="0"/>
              <w:pageBreakBefore w:val="0"/>
              <w:widowControl w:val="0"/>
              <w:tabs>
                <w:tab w:val="left" w:pos="241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 w:line="240" w:lineRule="exact"/>
              <w:ind w:left="107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特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对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调研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ab/>
            </w: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-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析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师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议</w:t>
            </w:r>
          </w:p>
          <w:p w14:paraId="24D22B88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46CDF8A">
            <w:pPr>
              <w:pStyle w:val="13"/>
              <w:keepNext w:val="0"/>
              <w:keepLines w:val="0"/>
              <w:pageBreakBefore w:val="0"/>
              <w:widowControl w:val="0"/>
              <w:tabs>
                <w:tab w:val="left" w:pos="241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107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媒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体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采访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ab/>
            </w: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542853217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="Wingdings 2" w:hAnsi="Wingdings 2" w:eastAsiaTheme="minorEastAsia" w:cstheme="minorEastAsia"/>
                    <w:sz w:val="24"/>
                    <w:szCs w:val="24"/>
                    <w:lang w:val="zh-CN" w:eastAsia="zh-CN" w:bidi="zh-CN"/>
                  </w:rPr>
                  <w:t>R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业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绩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说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明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会</w:t>
            </w:r>
          </w:p>
          <w:p w14:paraId="2059A62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8" w:line="2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4BEBC9B">
            <w:pPr>
              <w:pStyle w:val="13"/>
              <w:keepNext w:val="0"/>
              <w:keepLines w:val="0"/>
              <w:pageBreakBefore w:val="0"/>
              <w:widowControl w:val="0"/>
              <w:tabs>
                <w:tab w:val="left" w:pos="241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107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2234856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新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闻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发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布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ab/>
            </w: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路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活动</w:t>
            </w:r>
          </w:p>
          <w:p w14:paraId="161B4BC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8" w:line="2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2650C6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107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9676180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现场参观</w:t>
            </w:r>
          </w:p>
          <w:p w14:paraId="7AB349A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1" w:line="2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13F14F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107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="MS Gothic" w:hAnsi="MS Gothic" w:eastAsiaTheme="minorEastAsia" w:cstheme="minorEastAsia"/>
                    <w:sz w:val="24"/>
                    <w:szCs w:val="24"/>
                    <w:lang w:val="zh-CN" w:eastAsia="zh-CN" w:bidi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>请文字说明其他活动内容）</w:t>
            </w:r>
          </w:p>
        </w:tc>
      </w:tr>
      <w:tr w14:paraId="4E7F25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760" w:hRule="atLeast"/>
          <w:jc w:val="center"/>
        </w:trPr>
        <w:tc>
          <w:tcPr>
            <w:tcW w:w="2978" w:type="dxa"/>
            <w:vAlign w:val="center"/>
          </w:tcPr>
          <w:p w14:paraId="6690FE8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07" w:right="96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参与单位名称及人员姓名</w:t>
            </w:r>
          </w:p>
        </w:tc>
        <w:tc>
          <w:tcPr>
            <w:tcW w:w="5730" w:type="dxa"/>
            <w:vAlign w:val="center"/>
          </w:tcPr>
          <w:p w14:paraId="654FA53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线上参与公司2026年半年度业绩说明会的全体投资者</w:t>
            </w:r>
          </w:p>
        </w:tc>
      </w:tr>
      <w:tr w14:paraId="000D26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978" w:type="dxa"/>
            <w:vAlign w:val="center"/>
          </w:tcPr>
          <w:p w14:paraId="2677AA0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07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5730" w:type="dxa"/>
            <w:vAlign w:val="center"/>
          </w:tcPr>
          <w:p w14:paraId="68344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月2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日 1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5: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00-1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6: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00</w:t>
            </w:r>
          </w:p>
        </w:tc>
      </w:tr>
      <w:tr w14:paraId="017C5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978" w:type="dxa"/>
            <w:vAlign w:val="center"/>
          </w:tcPr>
          <w:p w14:paraId="647D4F1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ind w:left="107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5730" w:type="dxa"/>
            <w:vAlign w:val="center"/>
          </w:tcPr>
          <w:p w14:paraId="4E0F0F1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价值在线（https://www.ir-online.cn/）网络互动</w:t>
            </w:r>
          </w:p>
        </w:tc>
      </w:tr>
      <w:tr w14:paraId="21F916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978" w:type="dxa"/>
            <w:vAlign w:val="center"/>
          </w:tcPr>
          <w:p w14:paraId="4B338BA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 w:line="400" w:lineRule="exact"/>
              <w:ind w:left="107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上市公司接待人员姓名</w:t>
            </w:r>
          </w:p>
        </w:tc>
        <w:tc>
          <w:tcPr>
            <w:tcW w:w="5730" w:type="dxa"/>
            <w:vAlign w:val="center"/>
          </w:tcPr>
          <w:p w14:paraId="3F4E0A5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董事、总经理兼代理财务总监 戴运</w:t>
            </w:r>
          </w:p>
          <w:p w14:paraId="153FC38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董事会秘书 刘林鹤</w:t>
            </w:r>
          </w:p>
          <w:p w14:paraId="6ECC119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独立董事 朱振梅</w:t>
            </w:r>
          </w:p>
        </w:tc>
      </w:tr>
      <w:tr w14:paraId="0A0E5F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0" w:hRule="atLeast"/>
          <w:jc w:val="center"/>
        </w:trPr>
        <w:tc>
          <w:tcPr>
            <w:tcW w:w="2978" w:type="dxa"/>
            <w:vAlign w:val="center"/>
          </w:tcPr>
          <w:p w14:paraId="3041F343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3A53534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3EF8C058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5" w:line="400" w:lineRule="exac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</w:p>
          <w:p w14:paraId="2382051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 w:line="400" w:lineRule="exact"/>
              <w:ind w:left="107" w:right="96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投资者关系活动主要内容介绍</w:t>
            </w:r>
          </w:p>
        </w:tc>
        <w:tc>
          <w:tcPr>
            <w:tcW w:w="5730" w:type="dxa"/>
            <w:vAlign w:val="center"/>
          </w:tcPr>
          <w:p w14:paraId="513238EC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firstLine="482" w:firstLineChars="200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不久前，上影元参与出品的武侠电影《山竹刀》等作品受到关注。请问公司将如何借助AI技术进一步开发和活化丰富的IP资源储备？</w:t>
            </w:r>
          </w:p>
          <w:p w14:paraId="50AE524A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  <w:t>答复：公司始终将AI等前沿技术视为驱动产业升级的重要引擎，依托自有经典IP，布局“IP+AIGC”的经典焕新，结合IP全链运营优势构建可持续发展生态，助力国产影视高质量发展。</w:t>
            </w:r>
          </w:p>
          <w:p w14:paraId="2C0D9B69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  <w:t>公司联合出品的AIGC漫改武侠电影《山竹刀》于9月初上线，首日即位列腾讯热播榜第五、武侠榜第一，在骨朵、云合等平台居全平台网络电影热度第二位，热度与口碑并行。针对AIGC长时序内容创作对叙事连贯性、完整性的高要求，创作团队搭建覆盖剧本、分镜、美术、生成、剪辑、质控、交付的AIGC全流程生产链路，坚守人文创作内核，运用AI技术提质增效，在视觉呈现、制作效率、美学表达上实现突破，为国漫IP影视化及AIGC工业化创作探索实践路径。</w:t>
            </w:r>
          </w:p>
          <w:p w14:paraId="37A36E48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  <w:t>同时，公司持续深化与即梦AI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val="en-US" w:eastAsia="zh-CN"/>
              </w:rPr>
              <w:t>及火山引擎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  <w:t>合作，继依托Seedance2.0共创《童梦护卫队》AIGC内容后，内测首发Seedance2.5，推出AIGC短片《我可能确诊为葫芦娃》，验证AI在影视工业化场景的落地应用。公司发起的全球AI视觉创意大赛（瓦卡奖VACAT），汇聚全球创意与技术资源，2026年第三届赛事自7月启动征集，相关话题播放量已达15亿次，多部参赛作品单条点赞破百万。</w:t>
            </w:r>
          </w:p>
          <w:p w14:paraId="7CFB9618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firstLine="482" w:firstLineChars="200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公司IP运营主体上影元半年度经营情况如何？</w:t>
            </w:r>
          </w:p>
          <w:p w14:paraId="5C38940B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  <w:t>答复：上影元作为IP全产业链开发运营主体，上半年实现营收9,972.70万元，同比增长148.92%；净利润3,005.44万元，同比增长129.47%。</w:t>
            </w:r>
          </w:p>
          <w:p w14:paraId="36F01FC8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  <w:t>上影元始终坚持内容引领，不断做强品牌传播。年初上线的《中国奇谭2》持续扩容“奇谭宇宙”，累计播放量近1亿次，斩获金猴奖综合奖银奖等多项行业荣誉；《浪浪山小妖怪》完成多国发行，先后入围昂西国际动画电影节主竞赛单元、第59届锡切斯国际奇幻电影节动画竞赛单元、第19届法国斯特拉斯堡欧洲奇幻电影节动画长片竞赛单元、第20届俄罗斯大动画电影节动画长片竞赛单元，国际影响力持续提升。</w:t>
            </w:r>
          </w:p>
          <w:p w14:paraId="58183597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  <w:t>依托优质IP的传播效能，上半年新增百事、伊利等头部品牌授权项目19个，总曝光量36.2亿次，带动终端GMV约9.5亿元。同时上影元启动IP数字化运营底座搭建，夯实IP业务长效发展根基。</w:t>
            </w:r>
          </w:p>
          <w:p w14:paraId="0EAEDAF1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firstLine="482" w:firstLineChars="200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在行业整体承压的背景下，院线业务市占率实现逆势提升，公司直营影院和联和院线有哪些创新举措？</w:t>
            </w:r>
          </w:p>
          <w:p w14:paraId="56072552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  <w:t>答复：在行业阶段性承压背景下，公司紧跟国家“电影经济促进年”、影院多样化经营政策导向，主动推进业态创新，实现市占率逆势提升。</w:t>
            </w:r>
          </w:p>
          <w:p w14:paraId="068E03AF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  <w:t>SFC上影影城落实“一院一品、一店一策”，上海影城SHO单影院票房上半年位列全国第一；硬件上，完成Crystal One永华・晶曜厅LED电影屏系统投用、推进XR虚拟影厅试点迭代观影体验；场景上，拓展影展、赛事直播、IP快闪，盘活非黄金时段；影元社 HAPPY MALL 落地梦龙乐队粉丝快闪项目，打通线下多元消费场景，推动非票业务提质扩容。</w:t>
            </w:r>
          </w:p>
          <w:p w14:paraId="0841530C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  <w:t>联和院线推动由传统加盟渠道向综合赋能平台升级，落地联和万物SFCine+旗舰店、“好爱上海MovieLand・GATEM电影盛会”，搭建常态化IP活动矩阵，打造“电影+文旅”消费场景；孵化“SFCsound”厂牌，开展特色放映、配音工坊等主题运营，探索经典影片互动配音新模式，拓宽非票增长空间。</w:t>
            </w:r>
          </w:p>
          <w:p w14:paraId="103717D9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firstLine="482" w:firstLineChars="200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公司之前通过产业基金在AI陪伴、互动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影游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等领域已有成功布局，目前在AI和消费领域还有哪些新布局？</w:t>
            </w:r>
          </w:p>
          <w:p w14:paraId="66263E1C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  <w:t>答复：公司以优质内容为根基、线下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  <w:t>渠道为依托、科技创新为驱动力，深化资本投资与产业协同，持续构建“文化+科技+消费”业务生态。</w:t>
            </w:r>
          </w:p>
          <w:p w14:paraId="4A6F46E7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  <w:t>新视野基金聚焦数智科技、文化新消费等领域，近期已完成山东极视角、镕铭微电子、智象未来、维魔科技、呈白科技等项目战略投资。其中，国内领先的人工智能视觉算法与大模型应用平台极视角已于2026年3月30日在港交所上市；联合出品的全球首款双人互动影游《新世界：暗影成双》于9月23日在电脑端和移动端同步发售。除产业基金投资外，公司更注重与被投企业的跨界融合，如与东方非遗香氛品牌“呈白”联合出品“文化+消费”衍生系列；推进XR虚拟影厅在昆明、成都等城试点，拥抱影院“行进式XR”赛道；推动与智象未来AIGC内容共创；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val="en-US" w:eastAsia="zh-CN"/>
              </w:rPr>
              <w:t>与合作方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  <w:t>推出《浪浪山小妖怪：幻境奇旅》《大闹天宫》XR沉浸式项目等。</w:t>
            </w:r>
          </w:p>
          <w:p w14:paraId="132B7C41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sz w:val="24"/>
                <w:szCs w:val="24"/>
                <w:lang w:eastAsia="zh-CN"/>
              </w:rPr>
            </w:pPr>
          </w:p>
          <w:p w14:paraId="2DDE5BC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400" w:lineRule="exact"/>
              <w:ind w:firstLine="482" w:firstLineChars="20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 xml:space="preserve">    </w:t>
            </w:r>
          </w:p>
        </w:tc>
      </w:tr>
      <w:tr w14:paraId="42DFA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99" w:hRule="atLeast"/>
          <w:jc w:val="center"/>
        </w:trPr>
        <w:tc>
          <w:tcPr>
            <w:tcW w:w="2978" w:type="dxa"/>
            <w:vAlign w:val="center"/>
          </w:tcPr>
          <w:p w14:paraId="3C29DAB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 w:line="400" w:lineRule="exact"/>
              <w:ind w:left="107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关于本次活动是否涉及应</w:t>
            </w:r>
          </w:p>
          <w:p w14:paraId="01D6E06D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 w:line="400" w:lineRule="exact"/>
              <w:ind w:left="107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披露重大信息的说明</w:t>
            </w:r>
          </w:p>
        </w:tc>
        <w:tc>
          <w:tcPr>
            <w:tcW w:w="5730" w:type="dxa"/>
            <w:vAlign w:val="center"/>
          </w:tcPr>
          <w:p w14:paraId="14929E24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4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本次活动不涉及未公开披露的重大信息。</w:t>
            </w:r>
          </w:p>
        </w:tc>
      </w:tr>
      <w:tr w14:paraId="534E4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978" w:type="dxa"/>
            <w:vAlign w:val="center"/>
          </w:tcPr>
          <w:p w14:paraId="6812269A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 w:line="400" w:lineRule="exact"/>
              <w:ind w:left="107" w:leftChars="0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附件清单（如有）</w:t>
            </w:r>
          </w:p>
        </w:tc>
        <w:tc>
          <w:tcPr>
            <w:tcW w:w="5730" w:type="dxa"/>
            <w:vAlign w:val="center"/>
          </w:tcPr>
          <w:p w14:paraId="24A5FA7C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400" w:lineRule="exact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不适用</w:t>
            </w:r>
          </w:p>
        </w:tc>
      </w:tr>
      <w:tr w14:paraId="0BF7B3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978" w:type="dxa"/>
            <w:vAlign w:val="center"/>
          </w:tcPr>
          <w:p w14:paraId="025AC83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 w:line="400" w:lineRule="exact"/>
              <w:ind w:left="107" w:leftChars="0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5730" w:type="dxa"/>
            <w:vAlign w:val="center"/>
          </w:tcPr>
          <w:p w14:paraId="194A10D6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4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月2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日</w:t>
            </w:r>
          </w:p>
        </w:tc>
      </w:tr>
    </w:tbl>
    <w:p w14:paraId="27A1A3A3">
      <w:pPr>
        <w:rPr>
          <w:rFonts w:ascii="宋体" w:hAnsi="宋体" w:eastAsia="宋体" w:cs="宋体"/>
          <w:sz w:val="28"/>
          <w:szCs w:val="36"/>
        </w:rPr>
      </w:pPr>
    </w:p>
    <w:sectPr>
      <w:footerReference r:id="rId3" w:type="default"/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2000019F" w:csb1="4F01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BBB9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AC294B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AC294B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E3Y2I3OTRlNTA1NjUwZGY1NGI3NTM4NWZhMGI4N2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4B072D4"/>
    <w:rsid w:val="05F575D4"/>
    <w:rsid w:val="064249C6"/>
    <w:rsid w:val="08641132"/>
    <w:rsid w:val="09186774"/>
    <w:rsid w:val="0945438F"/>
    <w:rsid w:val="097F7270"/>
    <w:rsid w:val="0A71587A"/>
    <w:rsid w:val="0B792C38"/>
    <w:rsid w:val="0C193A66"/>
    <w:rsid w:val="0C28640C"/>
    <w:rsid w:val="0E90599A"/>
    <w:rsid w:val="0ED720CD"/>
    <w:rsid w:val="11273B74"/>
    <w:rsid w:val="12070CAE"/>
    <w:rsid w:val="12F066E2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A862E34"/>
    <w:rsid w:val="1BD06B6A"/>
    <w:rsid w:val="1F782BDE"/>
    <w:rsid w:val="204A6A53"/>
    <w:rsid w:val="213A2AEF"/>
    <w:rsid w:val="23317869"/>
    <w:rsid w:val="236909B1"/>
    <w:rsid w:val="25650CAE"/>
    <w:rsid w:val="26406598"/>
    <w:rsid w:val="28080056"/>
    <w:rsid w:val="28734C1A"/>
    <w:rsid w:val="28C72DDD"/>
    <w:rsid w:val="28CA37B2"/>
    <w:rsid w:val="29EE0E64"/>
    <w:rsid w:val="2BC4020A"/>
    <w:rsid w:val="2C1149AC"/>
    <w:rsid w:val="2EF90F16"/>
    <w:rsid w:val="2F125C63"/>
    <w:rsid w:val="302C3D0A"/>
    <w:rsid w:val="3104598F"/>
    <w:rsid w:val="31DC0533"/>
    <w:rsid w:val="33DE31BB"/>
    <w:rsid w:val="389C49C0"/>
    <w:rsid w:val="39BC78F4"/>
    <w:rsid w:val="3B35486F"/>
    <w:rsid w:val="3EF1250A"/>
    <w:rsid w:val="3FBF8B11"/>
    <w:rsid w:val="40567DB0"/>
    <w:rsid w:val="40FF5CD2"/>
    <w:rsid w:val="42DB40B0"/>
    <w:rsid w:val="42EB53A0"/>
    <w:rsid w:val="43B71B0A"/>
    <w:rsid w:val="44FA0589"/>
    <w:rsid w:val="45A663E3"/>
    <w:rsid w:val="469F09AF"/>
    <w:rsid w:val="48546009"/>
    <w:rsid w:val="4B756271"/>
    <w:rsid w:val="4C8E1CA8"/>
    <w:rsid w:val="4D6D36A4"/>
    <w:rsid w:val="510903EF"/>
    <w:rsid w:val="53F137F4"/>
    <w:rsid w:val="542857AD"/>
    <w:rsid w:val="543A6906"/>
    <w:rsid w:val="56702475"/>
    <w:rsid w:val="56850CBB"/>
    <w:rsid w:val="59D8738A"/>
    <w:rsid w:val="5A666D76"/>
    <w:rsid w:val="5B2253C2"/>
    <w:rsid w:val="5C456A78"/>
    <w:rsid w:val="5CF02E0F"/>
    <w:rsid w:val="5F355E68"/>
    <w:rsid w:val="603269D2"/>
    <w:rsid w:val="61A52BCA"/>
    <w:rsid w:val="61C93D44"/>
    <w:rsid w:val="670910DD"/>
    <w:rsid w:val="67095496"/>
    <w:rsid w:val="67531912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6FEF0A9E"/>
    <w:rsid w:val="72446028"/>
    <w:rsid w:val="73076EC0"/>
    <w:rsid w:val="74210CA6"/>
    <w:rsid w:val="74410F5A"/>
    <w:rsid w:val="746F4E76"/>
    <w:rsid w:val="75319252"/>
    <w:rsid w:val="76271BC5"/>
    <w:rsid w:val="76430096"/>
    <w:rsid w:val="77F94E66"/>
    <w:rsid w:val="788C25F5"/>
    <w:rsid w:val="79F72AA9"/>
    <w:rsid w:val="7A144529"/>
    <w:rsid w:val="7CF95274"/>
    <w:rsid w:val="7DD37FAE"/>
    <w:rsid w:val="AEFBE164"/>
    <w:rsid w:val="BFEF5C44"/>
    <w:rsid w:val="EFBF1E84"/>
    <w:rsid w:val="FA7ECB86"/>
    <w:rsid w:val="FADF6260"/>
    <w:rsid w:val="FDE702C4"/>
    <w:rsid w:val="FFBBDD60"/>
    <w:rsid w:val="FFFE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8"/>
    <w:qFormat/>
    <w:uiPriority w:val="0"/>
    <w:rPr>
      <w:sz w:val="18"/>
      <w:szCs w:val="18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annotation subject"/>
    <w:basedOn w:val="3"/>
    <w:next w:val="3"/>
    <w:link w:val="17"/>
    <w:qFormat/>
    <w:uiPriority w:val="0"/>
    <w:rPr>
      <w:b/>
      <w:bCs/>
    </w:r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页眉 字符"/>
    <w:basedOn w:val="11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5">
    <w:name w:val="页脚 字符"/>
    <w:basedOn w:val="11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6">
    <w:name w:val="批注文字 字符"/>
    <w:basedOn w:val="11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7">
    <w:name w:val="批注主题 字符"/>
    <w:basedOn w:val="16"/>
    <w:link w:val="9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8">
    <w:name w:val="批注框文本 字符"/>
    <w:basedOn w:val="11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paragraph" w:customStyle="1" w:styleId="19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color w:val="000000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416454-D52C-4974-A468-5D02FFFCA6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1860</Words>
  <Characters>2083</Characters>
  <Lines>2</Lines>
  <Paragraphs>1</Paragraphs>
  <TotalTime>0</TotalTime>
  <ScaleCrop>false</ScaleCrop>
  <LinksUpToDate>false</LinksUpToDate>
  <CharactersWithSpaces>2149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2022-04-13T06:10:00Z</dcterms:created>
  <dc:creator>jie.huang</dc:creator>
  <cp:lastModifiedBy>谈重庆</cp:lastModifiedBy>
  <dcterms:modified xsi:type="dcterms:W3CDTF">2026-09-28T08:02:39Z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58060A5FB34E44FCBDBAED0B7E68B67C_13</vt:lpwstr>
  </property>
  <property fmtid="{D5CDD505-2E9C-101B-9397-08002B2CF9AE}" pid="4" name="KSOTemplateDocerSaveRecord">
    <vt:lpwstr>eyJoZGlkIjoiNDNiZTdlOWYwOTE0Y2M5OWI3YWQzODAzZTFmNDRhMzYiLCJ1c2VySWQiOiIyNTg4MjU1MjcifQ==</vt:lpwstr>
  </property>
</Properties>
</file>