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FB298C">
      <w:pPr>
        <w:jc w:val="center"/>
        <w:rPr>
          <w:rFonts w:hint="eastAsia" w:ascii="黑体" w:hAnsi="黑体" w:eastAsia="黑体"/>
          <w:sz w:val="36"/>
          <w:szCs w:val="36"/>
        </w:rPr>
      </w:pPr>
      <w:r>
        <w:rPr>
          <w:rFonts w:hint="eastAsia" w:ascii="黑体" w:hAnsi="黑体" w:eastAsia="黑体"/>
          <w:sz w:val="36"/>
          <w:szCs w:val="36"/>
        </w:rPr>
        <w:t>山东嘉华生物科技股份有限公司</w:t>
      </w:r>
    </w:p>
    <w:p w14:paraId="4F64BB37">
      <w:pPr>
        <w:jc w:val="center"/>
        <w:rPr>
          <w:rFonts w:ascii="黑体" w:hAnsi="黑体" w:eastAsia="黑体"/>
          <w:sz w:val="36"/>
          <w:szCs w:val="36"/>
        </w:rPr>
      </w:pPr>
      <w:r>
        <w:rPr>
          <w:rFonts w:hint="eastAsia" w:ascii="黑体" w:hAnsi="黑体" w:eastAsia="黑体"/>
          <w:sz w:val="36"/>
          <w:szCs w:val="36"/>
        </w:rPr>
        <w:t>投资者关系活动记录表</w:t>
      </w:r>
    </w:p>
    <w:p w14:paraId="578EC37C">
      <w:pPr>
        <w:ind w:firstLine="240" w:firstLineChars="100"/>
        <w:jc w:val="left"/>
        <w:rPr>
          <w:rFonts w:ascii="黑体" w:hAnsi="黑体" w:eastAsia="黑体"/>
          <w:sz w:val="24"/>
          <w:szCs w:val="24"/>
        </w:rPr>
      </w:pPr>
      <w:r>
        <w:rPr>
          <w:rFonts w:hint="eastAsia" w:ascii="宋体" w:hAnsi="宋体"/>
          <w:sz w:val="24"/>
          <w:szCs w:val="24"/>
        </w:rPr>
        <w:t>公司简称：</w:t>
      </w:r>
      <w:r>
        <w:rPr>
          <w:rFonts w:hint="default" w:ascii="宋体" w:hAnsi="宋体"/>
          <w:sz w:val="24"/>
          <w:szCs w:val="24"/>
          <w:lang w:val="en-US"/>
        </w:rPr>
        <w:t>嘉华股份</w:t>
      </w:r>
      <w:r>
        <w:rPr>
          <w:rFonts w:hint="eastAsia" w:ascii="宋体" w:hAnsi="宋体"/>
          <w:sz w:val="24"/>
          <w:szCs w:val="24"/>
          <w:lang w:val="en-US" w:eastAsia="zh-CN"/>
        </w:rPr>
        <w:t xml:space="preserve">                                </w:t>
      </w:r>
      <w:r>
        <w:rPr>
          <w:rFonts w:hint="eastAsia" w:ascii="宋体" w:hAnsi="宋体"/>
          <w:sz w:val="24"/>
          <w:szCs w:val="24"/>
        </w:rPr>
        <w:t>证券代码：</w:t>
      </w:r>
      <w:r>
        <w:rPr>
          <w:rFonts w:hint="default" w:ascii="宋体" w:hAnsi="宋体"/>
          <w:sz w:val="24"/>
          <w:szCs w:val="24"/>
          <w:lang w:val="en-US"/>
        </w:rPr>
        <w:t>603182</w:t>
      </w:r>
    </w:p>
    <w:tbl>
      <w:tblPr>
        <w:tblStyle w:val="5"/>
        <w:tblW w:w="87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23"/>
        <w:gridCol w:w="6794"/>
      </w:tblGrid>
      <w:tr w14:paraId="598EA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trPr>
        <w:tc>
          <w:tcPr>
            <w:tcW w:w="1923" w:type="dxa"/>
            <w:noWrap w:val="0"/>
            <w:vAlign w:val="center"/>
          </w:tcPr>
          <w:p w14:paraId="7E3D0F1D">
            <w:pPr>
              <w:jc w:val="center"/>
              <w:rPr>
                <w:b/>
                <w:bCs/>
                <w:sz w:val="24"/>
                <w:szCs w:val="24"/>
              </w:rPr>
            </w:pPr>
            <w:r>
              <w:rPr>
                <w:rFonts w:hint="eastAsia"/>
                <w:b/>
                <w:bCs/>
                <w:sz w:val="24"/>
                <w:szCs w:val="24"/>
              </w:rPr>
              <w:t>投资者关系活动类别</w:t>
            </w:r>
          </w:p>
        </w:tc>
        <w:tc>
          <w:tcPr>
            <w:tcW w:w="6794" w:type="dxa"/>
            <w:noWrap w:val="0"/>
            <w:vAlign w:val="center"/>
          </w:tcPr>
          <w:p w14:paraId="651E9ECC">
            <w:pPr>
              <w:spacing w:line="360" w:lineRule="auto"/>
              <w:rPr>
                <w:rFonts w:hint="eastAsia"/>
                <w:sz w:val="24"/>
                <w:szCs w:val="24"/>
              </w:rPr>
            </w:pPr>
            <w:r>
              <w:rPr>
                <w:rFonts w:hint="eastAsia"/>
                <w:sz w:val="24"/>
                <w:szCs w:val="24"/>
                <w:lang w:eastAsia="zh-CN"/>
              </w:rPr>
              <w:t>□</w:t>
            </w:r>
            <w:r>
              <w:rPr>
                <w:rFonts w:hint="eastAsia"/>
                <w:sz w:val="24"/>
                <w:szCs w:val="24"/>
              </w:rPr>
              <w:t>特定对象调研    □分析师会议</w:t>
            </w:r>
          </w:p>
          <w:p w14:paraId="62CABA53">
            <w:pPr>
              <w:spacing w:line="360" w:lineRule="auto"/>
              <w:rPr>
                <w:rFonts w:hint="eastAsia"/>
                <w:sz w:val="24"/>
                <w:szCs w:val="24"/>
              </w:rPr>
            </w:pPr>
            <w:r>
              <w:rPr>
                <w:rFonts w:hint="eastAsia"/>
                <w:sz w:val="24"/>
                <w:szCs w:val="24"/>
                <w:lang w:eastAsia="zh-CN"/>
              </w:rPr>
              <w:t>□</w:t>
            </w:r>
            <w:r>
              <w:rPr>
                <w:rFonts w:hint="eastAsia"/>
                <w:sz w:val="24"/>
                <w:szCs w:val="24"/>
              </w:rPr>
              <w:t>媒体采访        ☑业绩说明会</w:t>
            </w:r>
          </w:p>
          <w:p w14:paraId="4156944E">
            <w:pPr>
              <w:spacing w:line="360" w:lineRule="auto"/>
              <w:rPr>
                <w:rFonts w:hint="eastAsia"/>
                <w:sz w:val="24"/>
                <w:szCs w:val="24"/>
              </w:rPr>
            </w:pPr>
            <w:r>
              <w:rPr>
                <w:rFonts w:hint="eastAsia"/>
                <w:sz w:val="24"/>
                <w:szCs w:val="24"/>
              </w:rPr>
              <w:t>□新闻发布会      □路演活动</w:t>
            </w:r>
          </w:p>
          <w:p w14:paraId="533B0657">
            <w:pPr>
              <w:spacing w:line="360" w:lineRule="auto"/>
              <w:rPr>
                <w:rFonts w:hint="eastAsia"/>
                <w:sz w:val="24"/>
                <w:szCs w:val="24"/>
              </w:rPr>
            </w:pPr>
            <w:r>
              <w:rPr>
                <w:rFonts w:hint="eastAsia"/>
                <w:sz w:val="24"/>
                <w:szCs w:val="24"/>
                <w:lang w:eastAsia="zh-CN"/>
              </w:rPr>
              <w:t>□</w:t>
            </w:r>
            <w:r>
              <w:rPr>
                <w:rFonts w:hint="eastAsia"/>
                <w:sz w:val="24"/>
                <w:szCs w:val="24"/>
              </w:rPr>
              <w:t>现场参观      □其他（请文字说明其他活动内容）</w:t>
            </w:r>
          </w:p>
        </w:tc>
      </w:tr>
      <w:tr w14:paraId="50655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trPr>
        <w:tc>
          <w:tcPr>
            <w:tcW w:w="1923" w:type="dxa"/>
            <w:noWrap w:val="0"/>
            <w:vAlign w:val="center"/>
          </w:tcPr>
          <w:p w14:paraId="4BD1D3E7">
            <w:pPr>
              <w:jc w:val="center"/>
              <w:rPr>
                <w:b/>
                <w:bCs/>
                <w:sz w:val="24"/>
                <w:szCs w:val="24"/>
              </w:rPr>
            </w:pPr>
            <w:r>
              <w:rPr>
                <w:rFonts w:hint="eastAsia"/>
                <w:b/>
                <w:bCs/>
                <w:sz w:val="24"/>
                <w:szCs w:val="24"/>
              </w:rPr>
              <w:t>活动主题</w:t>
            </w:r>
          </w:p>
        </w:tc>
        <w:tc>
          <w:tcPr>
            <w:tcW w:w="6794" w:type="dxa"/>
            <w:noWrap w:val="0"/>
            <w:vAlign w:val="center"/>
          </w:tcPr>
          <w:p w14:paraId="0F961C7E">
            <w:pPr>
              <w:jc w:val="center"/>
              <w:rPr>
                <w:sz w:val="24"/>
                <w:szCs w:val="24"/>
              </w:rPr>
            </w:pPr>
            <w:r>
              <w:rPr>
                <w:rFonts w:hint="eastAsia" w:ascii="宋体" w:hAnsi="宋体" w:cs="宋体"/>
                <w:bCs/>
                <w:iCs/>
                <w:color w:val="000000"/>
                <w:sz w:val="24"/>
                <w:highlight w:val="none"/>
                <w:lang w:val="en-US" w:eastAsia="zh-CN"/>
              </w:rPr>
              <w:t>嘉华股份</w:t>
            </w:r>
            <w:r>
              <w:rPr>
                <w:rFonts w:hint="eastAsia" w:ascii="宋体" w:hAnsi="宋体" w:eastAsia="宋体" w:cs="宋体"/>
                <w:bCs/>
                <w:iCs/>
                <w:color w:val="000000"/>
                <w:sz w:val="24"/>
                <w:highlight w:val="none"/>
                <w:lang w:val="en-GB" w:eastAsia="zh-CN"/>
              </w:rPr>
              <w:t>2026年半年度业绩说明会</w:t>
            </w:r>
            <w:bookmarkStart w:id="0" w:name="_GoBack"/>
            <w:bookmarkEnd w:id="0"/>
          </w:p>
        </w:tc>
      </w:tr>
      <w:tr w14:paraId="7020E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9" w:hRule="atLeast"/>
        </w:trPr>
        <w:tc>
          <w:tcPr>
            <w:tcW w:w="1923" w:type="dxa"/>
            <w:noWrap w:val="0"/>
            <w:vAlign w:val="center"/>
          </w:tcPr>
          <w:p w14:paraId="6195341F">
            <w:pPr>
              <w:jc w:val="center"/>
              <w:rPr>
                <w:b/>
                <w:bCs/>
                <w:sz w:val="24"/>
                <w:szCs w:val="24"/>
              </w:rPr>
            </w:pPr>
            <w:r>
              <w:rPr>
                <w:rFonts w:hint="eastAsia"/>
                <w:b/>
                <w:bCs/>
                <w:sz w:val="24"/>
                <w:szCs w:val="24"/>
              </w:rPr>
              <w:t>时间</w:t>
            </w:r>
          </w:p>
        </w:tc>
        <w:tc>
          <w:tcPr>
            <w:tcW w:w="6794" w:type="dxa"/>
            <w:noWrap w:val="0"/>
            <w:vAlign w:val="center"/>
          </w:tcPr>
          <w:p w14:paraId="1CB55DEC">
            <w:pPr>
              <w:jc w:val="center"/>
              <w:rPr>
                <w:rFonts w:hint="eastAsia"/>
                <w:sz w:val="24"/>
                <w:szCs w:val="24"/>
              </w:rPr>
            </w:pPr>
            <w:r>
              <w:rPr>
                <w:rFonts w:hint="eastAsia" w:ascii="宋体" w:hAnsi="宋体" w:eastAsia="宋体" w:cs="宋体"/>
                <w:bCs/>
                <w:iCs/>
                <w:color w:val="000000"/>
                <w:sz w:val="24"/>
                <w:highlight w:val="none"/>
              </w:rPr>
              <w:t>202</w:t>
            </w:r>
            <w:r>
              <w:rPr>
                <w:rFonts w:hint="eastAsia" w:ascii="宋体" w:hAnsi="宋体" w:cs="宋体"/>
                <w:bCs/>
                <w:iCs/>
                <w:color w:val="000000"/>
                <w:sz w:val="24"/>
                <w:highlight w:val="none"/>
                <w:lang w:val="en-US" w:eastAsia="zh-CN"/>
              </w:rPr>
              <w:t>6</w:t>
            </w:r>
            <w:r>
              <w:rPr>
                <w:rFonts w:hint="eastAsia" w:ascii="宋体" w:hAnsi="宋体" w:eastAsia="宋体" w:cs="宋体"/>
                <w:bCs/>
                <w:iCs/>
                <w:color w:val="000000"/>
                <w:sz w:val="24"/>
                <w:highlight w:val="none"/>
              </w:rPr>
              <w:t>-</w:t>
            </w:r>
            <w:r>
              <w:rPr>
                <w:rFonts w:hint="eastAsia" w:ascii="宋体" w:hAnsi="宋体" w:cs="宋体"/>
                <w:bCs/>
                <w:iCs/>
                <w:color w:val="000000"/>
                <w:sz w:val="24"/>
                <w:highlight w:val="none"/>
                <w:lang w:val="en-US" w:eastAsia="zh-CN"/>
              </w:rPr>
              <w:t>09</w:t>
            </w:r>
            <w:r>
              <w:rPr>
                <w:rFonts w:hint="eastAsia" w:ascii="宋体" w:hAnsi="宋体" w:eastAsia="宋体" w:cs="宋体"/>
                <w:bCs/>
                <w:iCs/>
                <w:color w:val="000000"/>
                <w:sz w:val="24"/>
                <w:highlight w:val="none"/>
              </w:rPr>
              <w:t>-</w:t>
            </w:r>
            <w:r>
              <w:rPr>
                <w:rFonts w:hint="eastAsia" w:ascii="宋体" w:hAnsi="宋体" w:cs="宋体"/>
                <w:bCs/>
                <w:iCs/>
                <w:color w:val="000000"/>
                <w:sz w:val="24"/>
                <w:highlight w:val="none"/>
                <w:lang w:val="en-US" w:eastAsia="zh-CN"/>
              </w:rPr>
              <w:t>28</w:t>
            </w:r>
            <w:r>
              <w:rPr>
                <w:rFonts w:hint="eastAsia" w:ascii="宋体" w:hAnsi="宋体" w:cs="宋体"/>
                <w:bCs/>
                <w:iCs/>
                <w:color w:val="000000"/>
                <w:sz w:val="24"/>
                <w:highlight w:val="none"/>
                <w:lang w:eastAsia="zh-CN"/>
              </w:rPr>
              <w:t>（</w:t>
            </w:r>
            <w:r>
              <w:rPr>
                <w:rFonts w:hint="eastAsia" w:ascii="宋体" w:hAnsi="宋体" w:cs="宋体"/>
                <w:bCs/>
                <w:iCs/>
                <w:color w:val="000000"/>
                <w:sz w:val="24"/>
                <w:highlight w:val="none"/>
                <w:lang w:val="en-US" w:eastAsia="zh-CN"/>
              </w:rPr>
              <w:t>星期一</w:t>
            </w:r>
            <w:r>
              <w:rPr>
                <w:rFonts w:hint="eastAsia" w:ascii="宋体" w:hAnsi="宋体" w:cs="宋体"/>
                <w:bCs/>
                <w:iCs/>
                <w:color w:val="000000"/>
                <w:sz w:val="24"/>
                <w:highlight w:val="none"/>
                <w:lang w:eastAsia="zh-CN"/>
              </w:rPr>
              <w:t>）</w:t>
            </w:r>
            <w:r>
              <w:rPr>
                <w:rFonts w:hint="eastAsia" w:ascii="宋体" w:hAnsi="宋体" w:eastAsia="宋体" w:cs="宋体"/>
                <w:bCs/>
                <w:iCs/>
                <w:color w:val="000000"/>
                <w:sz w:val="24"/>
                <w:highlight w:val="none"/>
              </w:rPr>
              <w:t xml:space="preserve"> </w:t>
            </w:r>
            <w:r>
              <w:rPr>
                <w:rFonts w:hint="eastAsia" w:ascii="宋体" w:hAnsi="宋体" w:cs="宋体"/>
                <w:bCs/>
                <w:iCs/>
                <w:color w:val="000000"/>
                <w:sz w:val="24"/>
                <w:highlight w:val="none"/>
                <w:lang w:val="en-US" w:eastAsia="zh-CN"/>
              </w:rPr>
              <w:t>10</w:t>
            </w:r>
            <w:r>
              <w:rPr>
                <w:rFonts w:hint="eastAsia" w:ascii="宋体" w:hAnsi="宋体" w:eastAsia="宋体" w:cs="宋体"/>
                <w:bCs/>
                <w:iCs/>
                <w:color w:val="000000"/>
                <w:sz w:val="24"/>
                <w:highlight w:val="none"/>
              </w:rPr>
              <w:t>:00-1</w:t>
            </w:r>
            <w:r>
              <w:rPr>
                <w:rFonts w:hint="eastAsia" w:ascii="宋体" w:hAnsi="宋体" w:cs="宋体"/>
                <w:bCs/>
                <w:iCs/>
                <w:color w:val="000000"/>
                <w:sz w:val="24"/>
                <w:highlight w:val="none"/>
                <w:lang w:val="en-US" w:eastAsia="zh-CN"/>
              </w:rPr>
              <w:t>1</w:t>
            </w:r>
            <w:r>
              <w:rPr>
                <w:rFonts w:hint="eastAsia" w:ascii="宋体" w:hAnsi="宋体" w:eastAsia="宋体" w:cs="宋体"/>
                <w:bCs/>
                <w:iCs/>
                <w:color w:val="000000"/>
                <w:sz w:val="24"/>
                <w:highlight w:val="none"/>
              </w:rPr>
              <w:t>:00</w:t>
            </w:r>
          </w:p>
        </w:tc>
      </w:tr>
      <w:tr w14:paraId="31472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trPr>
        <w:tc>
          <w:tcPr>
            <w:tcW w:w="1923" w:type="dxa"/>
            <w:noWrap w:val="0"/>
            <w:vAlign w:val="center"/>
          </w:tcPr>
          <w:p w14:paraId="28B3F711">
            <w:pPr>
              <w:jc w:val="center"/>
              <w:rPr>
                <w:b/>
                <w:bCs/>
                <w:sz w:val="24"/>
                <w:szCs w:val="24"/>
              </w:rPr>
            </w:pPr>
            <w:r>
              <w:rPr>
                <w:rFonts w:hint="eastAsia"/>
                <w:b/>
                <w:bCs/>
                <w:sz w:val="24"/>
                <w:szCs w:val="24"/>
              </w:rPr>
              <w:t>地点</w:t>
            </w:r>
            <w:r>
              <w:rPr>
                <w:rFonts w:hint="eastAsia" w:ascii="宋体" w:hAnsi="宋体"/>
                <w:b/>
                <w:bCs/>
                <w:sz w:val="24"/>
                <w:szCs w:val="24"/>
              </w:rPr>
              <w:t>/</w:t>
            </w:r>
            <w:r>
              <w:rPr>
                <w:rFonts w:hint="eastAsia"/>
                <w:b/>
                <w:bCs/>
                <w:sz w:val="24"/>
                <w:szCs w:val="24"/>
              </w:rPr>
              <w:t>方式</w:t>
            </w:r>
          </w:p>
        </w:tc>
        <w:tc>
          <w:tcPr>
            <w:tcW w:w="6794" w:type="dxa"/>
            <w:noWrap w:val="0"/>
            <w:vAlign w:val="top"/>
          </w:tcPr>
          <w:p w14:paraId="32220438">
            <w:pPr>
              <w:jc w:val="center"/>
              <w:rPr>
                <w:rFonts w:hint="eastAsia" w:ascii="宋体" w:hAnsi="宋体"/>
                <w:bCs/>
                <w:sz w:val="24"/>
              </w:rPr>
            </w:pPr>
          </w:p>
          <w:p w14:paraId="76D3531D">
            <w:pPr>
              <w:jc w:val="center"/>
              <w:rPr>
                <w:rFonts w:hint="eastAsia" w:ascii="宋体" w:hAnsi="宋体"/>
                <w:bCs/>
                <w:sz w:val="24"/>
              </w:rPr>
            </w:pPr>
            <w:r>
              <w:rPr>
                <w:rFonts w:hint="eastAsia" w:ascii="宋体" w:hAnsi="宋体"/>
                <w:bCs/>
                <w:sz w:val="24"/>
              </w:rPr>
              <w:t>上海证券交易所上证路演中心</w:t>
            </w:r>
          </w:p>
          <w:p w14:paraId="2EDD7E6D">
            <w:pPr>
              <w:jc w:val="center"/>
              <w:rPr>
                <w:rFonts w:hint="eastAsia" w:ascii="宋体" w:hAnsi="宋体"/>
                <w:bCs/>
                <w:sz w:val="24"/>
              </w:rPr>
            </w:pPr>
            <w:r>
              <w:rPr>
                <w:rFonts w:hint="eastAsia" w:ascii="宋体" w:hAnsi="宋体"/>
                <w:bCs/>
                <w:sz w:val="24"/>
              </w:rPr>
              <w:t>（网址：</w:t>
            </w:r>
            <w:r>
              <w:rPr>
                <w:rFonts w:hint="eastAsia" w:ascii="宋体" w:hAnsi="宋体"/>
                <w:bCs/>
                <w:sz w:val="24"/>
              </w:rPr>
              <w:fldChar w:fldCharType="begin"/>
            </w:r>
            <w:r>
              <w:rPr>
                <w:rFonts w:hint="eastAsia" w:ascii="宋体" w:hAnsi="宋体"/>
                <w:bCs/>
                <w:sz w:val="24"/>
              </w:rPr>
              <w:instrText xml:space="preserve"> HYPERLINK "https://roadshow.sseinfo.com/）" </w:instrText>
            </w:r>
            <w:r>
              <w:rPr>
                <w:rFonts w:hint="eastAsia" w:ascii="宋体" w:hAnsi="宋体"/>
                <w:bCs/>
                <w:sz w:val="24"/>
              </w:rPr>
              <w:fldChar w:fldCharType="separate"/>
            </w:r>
            <w:r>
              <w:rPr>
                <w:rStyle w:val="7"/>
                <w:rFonts w:hint="eastAsia" w:ascii="宋体" w:hAnsi="宋体"/>
                <w:bCs/>
                <w:sz w:val="24"/>
              </w:rPr>
              <w:t>https://roadshow.sseinfo.com/）</w:t>
            </w:r>
            <w:r>
              <w:rPr>
                <w:rFonts w:hint="eastAsia" w:ascii="宋体" w:hAnsi="宋体"/>
                <w:bCs/>
                <w:sz w:val="24"/>
              </w:rPr>
              <w:fldChar w:fldCharType="end"/>
            </w:r>
          </w:p>
          <w:p w14:paraId="08D50230">
            <w:pPr>
              <w:jc w:val="center"/>
              <w:rPr>
                <w:rFonts w:hint="eastAsia" w:ascii="宋体" w:hAnsi="宋体"/>
                <w:bCs/>
                <w:sz w:val="24"/>
              </w:rPr>
            </w:pPr>
            <w:r>
              <w:rPr>
                <w:rFonts w:hint="eastAsia" w:ascii="宋体" w:hAnsi="宋体"/>
                <w:bCs/>
                <w:sz w:val="24"/>
              </w:rPr>
              <w:t>网络互动</w:t>
            </w:r>
          </w:p>
          <w:p w14:paraId="593877B7">
            <w:pPr>
              <w:jc w:val="center"/>
              <w:rPr>
                <w:rFonts w:hint="eastAsia" w:ascii="宋体" w:hAnsi="宋体"/>
                <w:bCs/>
                <w:sz w:val="24"/>
              </w:rPr>
            </w:pPr>
          </w:p>
        </w:tc>
      </w:tr>
      <w:tr w14:paraId="347A7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trPr>
        <w:tc>
          <w:tcPr>
            <w:tcW w:w="1923" w:type="dxa"/>
            <w:noWrap w:val="0"/>
            <w:vAlign w:val="center"/>
          </w:tcPr>
          <w:p w14:paraId="0C5478C0">
            <w:pPr>
              <w:jc w:val="center"/>
              <w:rPr>
                <w:b/>
                <w:bCs/>
                <w:sz w:val="24"/>
                <w:szCs w:val="24"/>
              </w:rPr>
            </w:pPr>
            <w:r>
              <w:rPr>
                <w:rFonts w:hint="eastAsia"/>
                <w:b/>
                <w:bCs/>
                <w:sz w:val="24"/>
                <w:szCs w:val="24"/>
              </w:rPr>
              <w:t>参会人员</w:t>
            </w:r>
          </w:p>
        </w:tc>
        <w:tc>
          <w:tcPr>
            <w:tcW w:w="6794" w:type="dxa"/>
            <w:noWrap w:val="0"/>
            <w:vAlign w:val="center"/>
          </w:tcPr>
          <w:p w14:paraId="46F44F8C">
            <w:pPr>
              <w:spacing w:line="360" w:lineRule="auto"/>
              <w:ind w:firstLine="1680" w:firstLineChars="700"/>
              <w:jc w:val="both"/>
              <w:rPr>
                <w:rFonts w:hint="eastAsia" w:ascii="宋体" w:hAnsi="宋体" w:cs="宋体"/>
                <w:sz w:val="24"/>
                <w:szCs w:val="24"/>
                <w:lang w:val="en-US" w:eastAsia="zh-CN"/>
              </w:rPr>
            </w:pPr>
            <w:r>
              <w:rPr>
                <w:rFonts w:hint="eastAsia" w:ascii="宋体" w:hAnsi="宋体" w:cs="宋体"/>
                <w:sz w:val="24"/>
                <w:szCs w:val="24"/>
                <w:lang w:val="en-US" w:eastAsia="zh-CN"/>
              </w:rPr>
              <w:t>副董事长、总经理：李广庆先生</w:t>
            </w:r>
          </w:p>
          <w:p w14:paraId="50092A38">
            <w:pPr>
              <w:spacing w:line="360" w:lineRule="auto"/>
              <w:ind w:firstLine="1680" w:firstLineChars="700"/>
              <w:jc w:val="both"/>
              <w:rPr>
                <w:rFonts w:hint="eastAsia" w:ascii="宋体" w:hAnsi="宋体" w:cs="宋体"/>
                <w:sz w:val="24"/>
                <w:szCs w:val="24"/>
                <w:lang w:val="en-US" w:eastAsia="zh-CN"/>
              </w:rPr>
            </w:pPr>
            <w:r>
              <w:rPr>
                <w:rFonts w:hint="eastAsia" w:ascii="宋体" w:hAnsi="宋体" w:cs="宋体"/>
                <w:sz w:val="24"/>
                <w:szCs w:val="24"/>
                <w:lang w:val="en-US" w:eastAsia="zh-CN"/>
              </w:rPr>
              <w:t>董事、副总经理、董事会秘书：田丰先生</w:t>
            </w:r>
          </w:p>
          <w:p w14:paraId="3C3D5FEE">
            <w:pPr>
              <w:spacing w:line="360" w:lineRule="auto"/>
              <w:ind w:firstLine="1680" w:firstLineChars="700"/>
              <w:jc w:val="both"/>
              <w:rPr>
                <w:rFonts w:hint="eastAsia" w:ascii="宋体" w:hAnsi="宋体" w:cs="宋体"/>
                <w:sz w:val="24"/>
                <w:szCs w:val="24"/>
                <w:lang w:val="en-US" w:eastAsia="zh-CN"/>
              </w:rPr>
            </w:pPr>
            <w:r>
              <w:rPr>
                <w:rFonts w:hint="eastAsia" w:ascii="宋体" w:hAnsi="宋体" w:cs="宋体"/>
                <w:sz w:val="24"/>
                <w:szCs w:val="24"/>
                <w:lang w:val="en-US" w:eastAsia="zh-CN"/>
              </w:rPr>
              <w:t>财务总监：刘宁宁先生</w:t>
            </w:r>
          </w:p>
          <w:p w14:paraId="0183D55A">
            <w:pPr>
              <w:spacing w:line="360" w:lineRule="auto"/>
              <w:ind w:firstLine="1680" w:firstLineChars="700"/>
              <w:jc w:val="both"/>
              <w:rPr>
                <w:rFonts w:hint="eastAsia"/>
                <w:sz w:val="24"/>
                <w:szCs w:val="24"/>
              </w:rPr>
            </w:pPr>
            <w:r>
              <w:rPr>
                <w:rFonts w:hint="eastAsia" w:ascii="宋体" w:hAnsi="宋体" w:cs="宋体"/>
                <w:sz w:val="24"/>
                <w:szCs w:val="24"/>
                <w:lang w:val="en-US" w:eastAsia="zh-CN"/>
              </w:rPr>
              <w:t>独立董事：李彬先生</w:t>
            </w:r>
          </w:p>
        </w:tc>
      </w:tr>
      <w:tr w14:paraId="1DD95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923" w:type="dxa"/>
            <w:noWrap w:val="0"/>
            <w:vAlign w:val="center"/>
          </w:tcPr>
          <w:p w14:paraId="4D2DE8B2">
            <w:pPr>
              <w:jc w:val="center"/>
              <w:rPr>
                <w:b/>
                <w:bCs/>
                <w:sz w:val="24"/>
                <w:szCs w:val="24"/>
              </w:rPr>
            </w:pPr>
            <w:r>
              <w:rPr>
                <w:rFonts w:hint="eastAsia"/>
                <w:b/>
                <w:bCs/>
                <w:sz w:val="24"/>
                <w:szCs w:val="24"/>
              </w:rPr>
              <w:t>投资者关系活动主要内容介绍</w:t>
            </w:r>
          </w:p>
        </w:tc>
        <w:tc>
          <w:tcPr>
            <w:tcW w:w="6794" w:type="dxa"/>
            <w:noWrap w:val="0"/>
            <w:vAlign w:val="top"/>
          </w:tcPr>
          <w:p w14:paraId="76B67540">
            <w:pPr>
              <w:rPr>
                <w:rFonts w:hint="eastAsia" w:ascii="宋体"/>
                <w:sz w:val="24"/>
                <w:lang w:val="en-US" w:eastAsia="zh-CN"/>
              </w:rPr>
            </w:pPr>
          </w:p>
          <w:p w14:paraId="17A0386E">
            <w:pPr>
              <w:rPr>
                <w:rFonts w:hint="eastAsia" w:ascii="宋体"/>
                <w:sz w:val="24"/>
                <w:lang w:val="en-US" w:eastAsia="zh-CN"/>
              </w:rPr>
            </w:pPr>
            <w:r>
              <w:rPr>
                <w:rFonts w:hint="eastAsia" w:ascii="宋体"/>
                <w:sz w:val="24"/>
                <w:lang w:val="en-US" w:eastAsia="zh-CN"/>
              </w:rPr>
              <w:t>投资者问题解答</w:t>
            </w:r>
          </w:p>
          <w:p w14:paraId="00F984B7">
            <w:pPr>
              <w:ind w:firstLine="482" w:firstLineChars="200"/>
              <w:rPr>
                <w:rFonts w:hint="default" w:ascii="宋体"/>
                <w:b/>
                <w:bCs/>
                <w:sz w:val="24"/>
                <w:lang w:val="en-US" w:eastAsia="zh-CN"/>
              </w:rPr>
            </w:pPr>
            <w:r>
              <w:rPr>
                <w:rFonts w:hint="eastAsia" w:ascii="宋体"/>
                <w:b/>
                <w:bCs/>
                <w:sz w:val="24"/>
                <w:lang w:val="en-US" w:eastAsia="zh-CN"/>
              </w:rPr>
              <w:t>1、请解释下2026年上半年公司的营收增长幅度较大，但为什么利润反而下降了？同时请介绍下公司经营性净现金流同比大幅增长的原因。</w:t>
            </w:r>
          </w:p>
          <w:p w14:paraId="19E9F4CA">
            <w:pPr>
              <w:pStyle w:val="8"/>
              <w:spacing w:line="460" w:lineRule="exact"/>
              <w:ind w:left="0" w:leftChars="0" w:firstLine="480" w:firstLineChars="200"/>
              <w:rPr>
                <w:rFonts w:hint="eastAsia" w:ascii="宋体"/>
                <w:sz w:val="24"/>
                <w:lang w:val="en-US" w:eastAsia="zh-CN"/>
              </w:rPr>
            </w:pPr>
            <w:r>
              <w:rPr>
                <w:rFonts w:hint="eastAsia" w:ascii="宋体"/>
                <w:sz w:val="24"/>
                <w:lang w:val="en-US" w:eastAsia="zh-CN"/>
              </w:rPr>
              <w:t>答：尊敬的投资者，您好！2026上半年度，公司营业收入较上年同期增长25.66%，主要系产品销量稳步提升，以及产品销售价格较上年同期有所上涨所致。报告期内净利润同比减少9.03%，主要系受汇率波动影响，公司本期较上年同期汇兑净损失有所增加所致。公司经营活动产生的现金流量净额同比增长1,612.56%，主要得益于公司销售回款情况改善，销售回款增加所致。感谢您的关注！</w:t>
            </w:r>
          </w:p>
          <w:p w14:paraId="761B70C7">
            <w:pPr>
              <w:pStyle w:val="8"/>
              <w:spacing w:line="460" w:lineRule="exact"/>
              <w:ind w:left="0" w:leftChars="0" w:firstLine="482" w:firstLineChars="200"/>
              <w:rPr>
                <w:rFonts w:hint="eastAsia" w:ascii="宋体"/>
                <w:sz w:val="24"/>
                <w:lang w:val="en-US" w:eastAsia="zh-CN"/>
              </w:rPr>
            </w:pPr>
            <w:r>
              <w:rPr>
                <w:rFonts w:hint="eastAsia" w:ascii="宋体"/>
                <w:b/>
                <w:bCs/>
                <w:sz w:val="24"/>
                <w:lang w:val="en-US" w:eastAsia="zh-CN"/>
              </w:rPr>
              <w:t>2、对未来的发展有何展望？有哪些具体的战略规划？</w:t>
            </w:r>
          </w:p>
          <w:p w14:paraId="413321EB">
            <w:pPr>
              <w:pStyle w:val="8"/>
              <w:spacing w:line="460" w:lineRule="exact"/>
              <w:ind w:left="0" w:leftChars="0" w:firstLine="480" w:firstLineChars="200"/>
              <w:rPr>
                <w:rFonts w:hint="eastAsia" w:ascii="宋体"/>
                <w:sz w:val="24"/>
                <w:lang w:val="en-US" w:eastAsia="zh-CN"/>
              </w:rPr>
            </w:pPr>
            <w:r>
              <w:rPr>
                <w:rFonts w:hint="eastAsia" w:ascii="宋体"/>
                <w:sz w:val="24"/>
                <w:lang w:val="en-US" w:eastAsia="zh-CN"/>
              </w:rPr>
              <w:t>答：尊敬的投资者，您好！嘉华股份立足新发展阶段，始终坚守“以大豆蛋白为核心”的主业根基，坚持“专业化、高端化、国际化”发展方向不动摇。未来，公司将以提升产业链价值为主线，以技术创新和品质升级为驱动，以全球化市场布局为牵引，推动从大豆蛋白专业制造商向植物基营养解决方案领军企业的战略升级，持续巩固行业领先地位，实现规模、效益、品牌协同共进的高质量发展。感谢您的关注！</w:t>
            </w:r>
          </w:p>
          <w:p w14:paraId="0F3AEC37">
            <w:pPr>
              <w:pStyle w:val="8"/>
              <w:spacing w:line="460" w:lineRule="exact"/>
              <w:ind w:left="0" w:leftChars="0" w:firstLine="482" w:firstLineChars="200"/>
              <w:rPr>
                <w:rFonts w:hint="eastAsia" w:ascii="宋体"/>
                <w:b/>
                <w:bCs/>
                <w:sz w:val="24"/>
                <w:lang w:val="en-US" w:eastAsia="zh-CN"/>
              </w:rPr>
            </w:pPr>
            <w:r>
              <w:rPr>
                <w:rFonts w:hint="eastAsia" w:ascii="宋体"/>
                <w:b/>
                <w:bCs/>
                <w:sz w:val="24"/>
                <w:lang w:val="en-US" w:eastAsia="zh-CN"/>
              </w:rPr>
              <w:t>3、技术创新和产业升级方面有哪些举措？</w:t>
            </w:r>
          </w:p>
          <w:p w14:paraId="66F710AA">
            <w:pPr>
              <w:pStyle w:val="8"/>
              <w:spacing w:line="460" w:lineRule="exact"/>
              <w:ind w:left="0" w:leftChars="0" w:firstLine="480" w:firstLineChars="200"/>
              <w:rPr>
                <w:rFonts w:hint="default" w:ascii="宋体"/>
                <w:sz w:val="24"/>
                <w:lang w:val="en-US" w:eastAsia="zh-CN"/>
              </w:rPr>
            </w:pPr>
            <w:r>
              <w:rPr>
                <w:rFonts w:hint="default" w:ascii="宋体"/>
                <w:sz w:val="24"/>
                <w:lang w:val="en-US" w:eastAsia="zh-CN"/>
              </w:rPr>
              <w:t>尊敬的投资者，您好！公司历来坚持创新驱动战略，依托先进的功能实验室、多项国家和省市级科研平台，并联动高校与科研机构不断开展技术迭代升级，积极布局植物基肉制品、功能营养品、特医食品等应用领域，不断延伸大豆深加工价值链条，践行全循环绿色生产模式，提升资源综合利用水平。同时，公司与青岛农业大学等科研院所深化产学研合作，与青岛元达生物科技有限公司合资成立聊城嘉华诺康生物科技有限公司，共同开展后生元生物制造研发。在立足主营业务持续健康发展的同时，公司不断拓展大豆蛋白新型产品及应用领域，推动产品多元化转型，通过产业链延伸与品牌建设，实现从原料供应商向“品牌+渠道”的全链条消费品业务扩展，增强企业整体竞争力与市场影响力。感谢您的关注！</w:t>
            </w:r>
          </w:p>
          <w:p w14:paraId="2F485879">
            <w:pPr>
              <w:pStyle w:val="8"/>
              <w:spacing w:line="460" w:lineRule="exact"/>
              <w:ind w:left="0" w:leftChars="0" w:firstLine="482" w:firstLineChars="200"/>
              <w:rPr>
                <w:rFonts w:hint="eastAsia" w:ascii="宋体"/>
                <w:b/>
                <w:bCs/>
                <w:sz w:val="24"/>
                <w:lang w:val="en-US" w:eastAsia="zh-CN"/>
              </w:rPr>
            </w:pPr>
            <w:r>
              <w:rPr>
                <w:rFonts w:hint="eastAsia" w:ascii="宋体"/>
                <w:b/>
                <w:bCs/>
                <w:sz w:val="24"/>
                <w:lang w:val="en-US" w:eastAsia="zh-CN"/>
              </w:rPr>
              <w:t>4、请问后生元项目的生产在上市公司，运营在嘉华诺康，关联交易定价原则是什么？嘉华诺康的团队规模和职能定位如何？</w:t>
            </w:r>
          </w:p>
          <w:p w14:paraId="6CC67CEE">
            <w:pPr>
              <w:pStyle w:val="8"/>
              <w:spacing w:line="460" w:lineRule="exact"/>
              <w:ind w:left="0" w:leftChars="0" w:firstLine="480" w:firstLineChars="200"/>
              <w:rPr>
                <w:rFonts w:hint="default" w:ascii="宋体"/>
                <w:sz w:val="24"/>
                <w:lang w:val="en-US" w:eastAsia="zh-CN"/>
              </w:rPr>
            </w:pPr>
            <w:r>
              <w:rPr>
                <w:rFonts w:hint="eastAsia" w:ascii="宋体"/>
                <w:sz w:val="24"/>
                <w:lang w:val="en-US" w:eastAsia="zh-CN"/>
              </w:rPr>
              <w:t>答：尊敬的投资者，您好！公司与合资公司之间以市场行情为基础，在符合上市公司关于关联交易的监管要求前提下公允定价，由嘉华诺康开展后生元系列产品、酵母蛋白、酵母β葡聚糖等的研发、生产及销售，目前尚在筹备阶段，短期内对公司营收无重大影响。感谢您的关注!</w:t>
            </w:r>
          </w:p>
        </w:tc>
      </w:tr>
      <w:tr w14:paraId="1CC1F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923" w:type="dxa"/>
            <w:noWrap w:val="0"/>
            <w:vAlign w:val="center"/>
          </w:tcPr>
          <w:p w14:paraId="1F3C1AB2">
            <w:pPr>
              <w:jc w:val="center"/>
              <w:rPr>
                <w:rFonts w:hint="default" w:eastAsia="宋体"/>
                <w:b/>
                <w:bCs/>
                <w:sz w:val="24"/>
                <w:szCs w:val="24"/>
                <w:lang w:val="en-US" w:eastAsia="zh-CN"/>
              </w:rPr>
            </w:pPr>
            <w:r>
              <w:rPr>
                <w:rFonts w:hint="eastAsia"/>
                <w:b/>
                <w:bCs/>
                <w:sz w:val="24"/>
                <w:szCs w:val="24"/>
                <w:lang w:val="en-US" w:eastAsia="zh-CN"/>
              </w:rPr>
              <w:t>附件清单（如有）</w:t>
            </w:r>
          </w:p>
        </w:tc>
        <w:tc>
          <w:tcPr>
            <w:tcW w:w="6794" w:type="dxa"/>
            <w:noWrap w:val="0"/>
            <w:vAlign w:val="top"/>
          </w:tcPr>
          <w:p w14:paraId="5A5ADEAC">
            <w:pPr>
              <w:pStyle w:val="8"/>
              <w:spacing w:line="460" w:lineRule="exact"/>
              <w:ind w:left="0" w:leftChars="0" w:firstLine="0" w:firstLineChars="0"/>
              <w:rPr>
                <w:rFonts w:hint="eastAsia" w:ascii="宋体" w:hAnsi="宋体" w:eastAsia="宋体"/>
                <w:sz w:val="24"/>
                <w:szCs w:val="24"/>
                <w:lang w:val="en-US" w:eastAsia="zh-CN"/>
              </w:rPr>
            </w:pPr>
            <w:r>
              <w:rPr>
                <w:rFonts w:hint="eastAsia" w:ascii="宋体" w:hAnsi="宋体"/>
                <w:sz w:val="24"/>
                <w:szCs w:val="24"/>
                <w:lang w:val="en-US" w:eastAsia="zh-CN"/>
              </w:rPr>
              <w:t>无</w:t>
            </w:r>
          </w:p>
        </w:tc>
      </w:tr>
      <w:tr w14:paraId="2210D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923" w:type="dxa"/>
            <w:noWrap w:val="0"/>
            <w:vAlign w:val="center"/>
          </w:tcPr>
          <w:p w14:paraId="1F8940E3">
            <w:pPr>
              <w:jc w:val="center"/>
              <w:rPr>
                <w:rFonts w:hint="default"/>
                <w:b/>
                <w:bCs/>
                <w:sz w:val="24"/>
                <w:szCs w:val="24"/>
                <w:lang w:val="en-US" w:eastAsia="zh-CN"/>
              </w:rPr>
            </w:pPr>
            <w:r>
              <w:rPr>
                <w:rFonts w:hint="eastAsia"/>
                <w:b/>
                <w:bCs/>
                <w:sz w:val="24"/>
                <w:szCs w:val="24"/>
                <w:lang w:val="en-US" w:eastAsia="zh-CN"/>
              </w:rPr>
              <w:t>日期</w:t>
            </w:r>
          </w:p>
        </w:tc>
        <w:tc>
          <w:tcPr>
            <w:tcW w:w="6794" w:type="dxa"/>
            <w:noWrap w:val="0"/>
            <w:vAlign w:val="top"/>
          </w:tcPr>
          <w:p w14:paraId="364DFD99">
            <w:pPr>
              <w:pStyle w:val="8"/>
              <w:spacing w:line="460" w:lineRule="exact"/>
              <w:ind w:left="0" w:leftChars="0" w:firstLine="0" w:firstLineChars="0"/>
              <w:rPr>
                <w:rFonts w:hint="default" w:ascii="宋体" w:hAnsi="宋体"/>
                <w:sz w:val="24"/>
                <w:szCs w:val="24"/>
                <w:lang w:val="en-US" w:eastAsia="zh-CN"/>
              </w:rPr>
            </w:pPr>
            <w:r>
              <w:rPr>
                <w:rFonts w:hint="eastAsia" w:ascii="宋体" w:hAnsi="宋体"/>
                <w:sz w:val="24"/>
                <w:szCs w:val="24"/>
                <w:lang w:val="en-US" w:eastAsia="zh-CN"/>
              </w:rPr>
              <w:t>2026年9月28日</w:t>
            </w:r>
          </w:p>
        </w:tc>
      </w:tr>
    </w:tbl>
    <w:p w14:paraId="3488BF1F">
      <w:pPr>
        <w:rPr>
          <w:rFonts w:hint="eastAsia"/>
        </w:rPr>
      </w:pPr>
    </w:p>
    <w:p w14:paraId="45141706"/>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45F62">
    <w:pPr>
      <w:pStyle w:val="3"/>
      <w:tabs>
        <w:tab w:val="clear" w:pos="4153"/>
      </w:tabs>
      <w:jc w:val="right"/>
    </w:pPr>
    <w:r>
      <w:rPr>
        <w:rFonts w:hint="eastAsia"/>
      </w:rPr>
      <w:t>山东嘉华生物科技股份有限公司投资者关系活动记录表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I3NTlhNGJhZTk1YmZkMTc2MTM0MTg2MGI3NTFmMTEifQ=="/>
  </w:docVars>
  <w:rsids>
    <w:rsidRoot w:val="00000000"/>
    <w:rsid w:val="1BEE1F19"/>
    <w:rsid w:val="1CB2496B"/>
    <w:rsid w:val="220B4231"/>
    <w:rsid w:val="279175A6"/>
    <w:rsid w:val="40E445E9"/>
    <w:rsid w:val="41AF1CE2"/>
    <w:rsid w:val="48641732"/>
    <w:rsid w:val="4D0D5A92"/>
    <w:rsid w:val="5BE70645"/>
    <w:rsid w:val="61B42C51"/>
    <w:rsid w:val="6327307F"/>
    <w:rsid w:val="670E1BEF"/>
    <w:rsid w:val="6A636C96"/>
    <w:rsid w:val="6B747C01"/>
    <w:rsid w:val="6C65429B"/>
    <w:rsid w:val="738B7B3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
    <w:name w:val="Hyperlink"/>
    <w:basedOn w:val="6"/>
    <w:unhideWhenUsed/>
    <w:qFormat/>
    <w:uiPriority w:val="99"/>
    <w:rPr>
      <w:color w:val="0563C1"/>
      <w:u w:val="single"/>
    </w:rPr>
  </w:style>
  <w:style w:type="paragraph" w:customStyle="1" w:styleId="8">
    <w:name w:val="_Style 6"/>
    <w:basedOn w:val="1"/>
    <w:qFormat/>
    <w:uiPriority w:val="34"/>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1187</Words>
  <Characters>1269</Characters>
  <Lines>0</Lines>
  <Paragraphs>0</Paragraphs>
  <TotalTime>21</TotalTime>
  <ScaleCrop>false</ScaleCrop>
  <LinksUpToDate>false</LinksUpToDate>
  <CharactersWithSpaces>1326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2023-06-30T02:03:00Z</dcterms:created>
  <dc:creator>Administrator</dc:creator>
  <cp:lastModifiedBy>132----9285</cp:lastModifiedBy>
  <dcterms:modified xsi:type="dcterms:W3CDTF">2026-09-28T07:55:58Z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9CAE24DCDDF14E3FAB9E7D7AFC36E731_13</vt:lpwstr>
  </property>
  <property fmtid="{D5CDD505-2E9C-101B-9397-08002B2CF9AE}" pid="4" name="KSOTemplateDocerSaveRecord">
    <vt:lpwstr>eyJoZGlkIjoiOWQyYzE1ZjA5YWEwYTcwMWEzOGM2ZWRlMWNhZjUyZWEiLCJ1c2VySWQiOiIxNTYyMTM3NTEyIn0=</vt:lpwstr>
  </property>
</Properties>
</file>