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A7ACB">
      <w:pPr>
        <w:jc w:val="left"/>
        <w:rPr>
          <w:rFonts w:hint="eastAsia" w:ascii="宋体" w:hAnsi="宋体" w:eastAsia="宋体"/>
          <w:sz w:val="24"/>
          <w:szCs w:val="24"/>
          <w:lang w:val="en-US" w:eastAsia="zh-CN"/>
        </w:rPr>
      </w:pPr>
      <w:r>
        <w:rPr>
          <w:rFonts w:hint="eastAsia" w:ascii="宋体" w:hAnsi="宋体"/>
          <w:sz w:val="24"/>
          <w:szCs w:val="24"/>
        </w:rPr>
        <w:t>证券代码：</w:t>
      </w:r>
      <w:r>
        <w:rPr>
          <w:rFonts w:hint="default" w:ascii="宋体" w:hAnsi="宋体"/>
          <w:sz w:val="24"/>
          <w:szCs w:val="24"/>
          <w:lang w:val="en-US"/>
        </w:rPr>
        <w:t>60</w:t>
      </w:r>
      <w:r>
        <w:rPr>
          <w:rFonts w:hint="eastAsia" w:ascii="宋体" w:hAnsi="宋体"/>
          <w:sz w:val="24"/>
          <w:szCs w:val="24"/>
          <w:lang w:val="en-US" w:eastAsia="zh-CN"/>
        </w:rPr>
        <w:t>3601</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公司简称：</w:t>
      </w:r>
      <w:r>
        <w:rPr>
          <w:rFonts w:hint="eastAsia" w:ascii="宋体" w:hAnsi="宋体"/>
          <w:sz w:val="24"/>
          <w:szCs w:val="24"/>
          <w:lang w:val="en-US" w:eastAsia="zh-CN"/>
        </w:rPr>
        <w:t>再升科技</w:t>
      </w:r>
    </w:p>
    <w:p w14:paraId="2A106380">
      <w:pPr>
        <w:jc w:val="center"/>
        <w:rPr>
          <w:rFonts w:hint="eastAsia" w:ascii="黑体" w:hAnsi="黑体" w:eastAsia="黑体"/>
          <w:sz w:val="36"/>
          <w:szCs w:val="36"/>
        </w:rPr>
      </w:pPr>
      <w:r>
        <w:rPr>
          <w:rFonts w:hint="eastAsia" w:ascii="黑体" w:hAnsi="黑体" w:eastAsia="黑体"/>
          <w:sz w:val="36"/>
          <w:szCs w:val="36"/>
        </w:rPr>
        <w:t>重庆</w:t>
      </w:r>
      <w:r>
        <w:rPr>
          <w:rFonts w:hint="eastAsia" w:ascii="黑体" w:hAnsi="黑体" w:eastAsia="黑体"/>
          <w:sz w:val="36"/>
          <w:szCs w:val="36"/>
          <w:lang w:val="en-US" w:eastAsia="zh-CN"/>
        </w:rPr>
        <w:t>再升科技</w:t>
      </w:r>
      <w:r>
        <w:rPr>
          <w:rFonts w:hint="eastAsia" w:ascii="黑体" w:hAnsi="黑体" w:eastAsia="黑体"/>
          <w:sz w:val="36"/>
          <w:szCs w:val="36"/>
        </w:rPr>
        <w:t>股份有限公司</w:t>
      </w:r>
    </w:p>
    <w:p w14:paraId="7BBBC1B7">
      <w:pPr>
        <w:jc w:val="center"/>
        <w:rPr>
          <w:rFonts w:ascii="黑体" w:hAnsi="黑体" w:eastAsia="黑体"/>
          <w:sz w:val="36"/>
          <w:szCs w:val="36"/>
        </w:rPr>
      </w:pPr>
      <w:r>
        <w:rPr>
          <w:rFonts w:hint="eastAsia" w:ascii="黑体" w:hAnsi="黑体" w:eastAsia="黑体"/>
          <w:sz w:val="36"/>
          <w:szCs w:val="36"/>
        </w:rPr>
        <w:t>投资者关系活动记录表</w:t>
      </w:r>
    </w:p>
    <w:p w14:paraId="668FE409">
      <w:pPr>
        <w:jc w:val="center"/>
        <w:rPr>
          <w:rFonts w:ascii="黑体" w:hAnsi="黑体" w:eastAsia="黑体"/>
          <w:sz w:val="24"/>
          <w:szCs w:val="24"/>
          <w:highlight w:val="none"/>
        </w:rPr>
      </w:pPr>
    </w:p>
    <w:p w14:paraId="00EB1503">
      <w:pPr>
        <w:ind w:right="720"/>
        <w:jc w:val="right"/>
        <w:rPr>
          <w:rFonts w:hint="default" w:ascii="黑体" w:hAnsi="黑体" w:eastAsia="黑体"/>
          <w:sz w:val="24"/>
          <w:szCs w:val="24"/>
          <w:highlight w:val="none"/>
          <w:lang w:val="en-US" w:eastAsia="zh-CN"/>
        </w:rPr>
      </w:pPr>
      <w:r>
        <w:rPr>
          <w:rFonts w:hint="eastAsia" w:ascii="黑体" w:hAnsi="黑体" w:eastAsia="黑体"/>
          <w:sz w:val="24"/>
          <w:szCs w:val="24"/>
          <w:highlight w:val="none"/>
          <w:lang w:val="en-US" w:eastAsia="zh-CN"/>
        </w:rPr>
        <w:t xml:space="preserve"> </w:t>
      </w:r>
      <w:r>
        <w:rPr>
          <w:rFonts w:hint="eastAsia" w:ascii="黑体" w:hAnsi="黑体" w:eastAsia="黑体"/>
          <w:sz w:val="24"/>
          <w:szCs w:val="24"/>
          <w:highlight w:val="none"/>
        </w:rPr>
        <w:t>编号：</w:t>
      </w:r>
      <w:r>
        <w:rPr>
          <w:rFonts w:hint="eastAsia" w:ascii="黑体" w:hAnsi="黑体" w:eastAsia="黑体"/>
          <w:sz w:val="24"/>
          <w:szCs w:val="24"/>
          <w:highlight w:val="none"/>
          <w:lang w:val="en-US" w:eastAsia="zh-CN"/>
        </w:rPr>
        <w:t>2026-006</w:t>
      </w:r>
    </w:p>
    <w:tbl>
      <w:tblPr>
        <w:tblStyle w:val="7"/>
        <w:tblW w:w="9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5"/>
        <w:gridCol w:w="8429"/>
      </w:tblGrid>
      <w:tr w14:paraId="546DF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jc w:val="center"/>
        </w:trPr>
        <w:tc>
          <w:tcPr>
            <w:tcW w:w="1565" w:type="dxa"/>
            <w:noWrap w:val="0"/>
            <w:vAlign w:val="center"/>
          </w:tcPr>
          <w:p w14:paraId="139DAE98">
            <w:pPr>
              <w:rPr>
                <w:sz w:val="24"/>
                <w:szCs w:val="24"/>
              </w:rPr>
            </w:pPr>
            <w:r>
              <w:rPr>
                <w:rFonts w:hint="eastAsia"/>
                <w:sz w:val="24"/>
                <w:szCs w:val="24"/>
              </w:rPr>
              <w:t>投资者关系活动类别</w:t>
            </w:r>
          </w:p>
        </w:tc>
        <w:tc>
          <w:tcPr>
            <w:tcW w:w="8429" w:type="dxa"/>
            <w:noWrap w:val="0"/>
            <w:vAlign w:val="center"/>
          </w:tcPr>
          <w:p w14:paraId="60549243">
            <w:pPr>
              <w:autoSpaceDE w:val="0"/>
              <w:autoSpaceDN w:val="0"/>
              <w:adjustRightInd w:val="0"/>
              <w:spacing w:line="440" w:lineRule="exact"/>
              <w:rPr>
                <w:rFonts w:hint="eastAsia" w:ascii="Times New Roman" w:hAnsi="Times New Roman" w:cs="MS Mincho"/>
                <w:sz w:val="24"/>
              </w:rPr>
            </w:pPr>
            <w:r>
              <w:rPr>
                <w:rFonts w:hint="eastAsia" w:ascii="Times New Roman" w:hAnsi="Times New Roman" w:cs="MS Mincho"/>
                <w:sz w:val="24"/>
              </w:rPr>
              <w:sym w:font="Wingdings" w:char="00A8"/>
            </w:r>
            <w:r>
              <w:rPr>
                <w:rFonts w:hint="eastAsia" w:ascii="Times New Roman" w:hAnsi="Times New Roman" w:cs="MS Mincho"/>
                <w:sz w:val="24"/>
              </w:rPr>
              <w:t>电话会议</w:t>
            </w:r>
            <w:r>
              <w:rPr>
                <w:rFonts w:ascii="Times New Roman" w:hAnsi="Times New Roman" w:cs="MS Mincho"/>
                <w:sz w:val="24"/>
              </w:rPr>
              <w:t xml:space="preserve">      </w:t>
            </w:r>
            <w:r>
              <w:rPr>
                <w:rFonts w:hint="eastAsia" w:ascii="Times New Roman" w:hAnsi="Times New Roman" w:cs="MS Mincho"/>
                <w:sz w:val="24"/>
                <w:lang w:eastAsia="zh-CN"/>
              </w:rPr>
              <w:t>☑</w:t>
            </w:r>
            <w:r>
              <w:rPr>
                <w:rFonts w:hint="eastAsia" w:ascii="Times New Roman" w:hAnsi="Times New Roman" w:cs="MS Mincho"/>
                <w:sz w:val="24"/>
              </w:rPr>
              <w:t xml:space="preserve">现场参观        □媒体采访     </w:t>
            </w:r>
            <w:r>
              <w:rPr>
                <w:rFonts w:hint="eastAsia" w:ascii="Times New Roman" w:hAnsi="Times New Roman" w:cs="MS Mincho"/>
                <w:sz w:val="24"/>
                <w:lang w:eastAsia="zh-CN"/>
              </w:rPr>
              <w:t>□</w:t>
            </w:r>
            <w:r>
              <w:rPr>
                <w:rFonts w:hint="eastAsia" w:ascii="Times New Roman" w:hAnsi="Times New Roman" w:cs="MS Mincho"/>
                <w:sz w:val="24"/>
              </w:rPr>
              <w:t>分析师会议</w:t>
            </w:r>
          </w:p>
          <w:p w14:paraId="50F1DC16">
            <w:pPr>
              <w:spacing w:line="360" w:lineRule="auto"/>
              <w:rPr>
                <w:rFonts w:hint="default" w:eastAsia="宋体"/>
                <w:sz w:val="24"/>
                <w:szCs w:val="24"/>
                <w:lang w:val="en-US" w:eastAsia="zh-CN"/>
              </w:rPr>
            </w:pPr>
            <w:r>
              <w:rPr>
                <w:rFonts w:hint="eastAsia" w:ascii="Times New Roman" w:hAnsi="Times New Roman" w:cs="MS Mincho"/>
                <w:sz w:val="24"/>
                <w:lang w:eastAsia="zh-CN"/>
              </w:rPr>
              <w:t>☑</w:t>
            </w:r>
            <w:r>
              <w:rPr>
                <w:rFonts w:hint="eastAsia" w:ascii="Times New Roman" w:hAnsi="Times New Roman" w:cs="MS Mincho"/>
                <w:sz w:val="24"/>
              </w:rPr>
              <w:t xml:space="preserve">业绩说明会   </w:t>
            </w:r>
            <w:r>
              <w:rPr>
                <w:rFonts w:ascii="Times New Roman" w:hAnsi="Times New Roman" w:cs="MS Mincho"/>
                <w:sz w:val="24"/>
              </w:rPr>
              <w:t xml:space="preserve"> </w:t>
            </w:r>
            <w:r>
              <w:rPr>
                <w:rFonts w:hint="eastAsia" w:ascii="Times New Roman" w:hAnsi="Times New Roman" w:cs="MS Mincho"/>
                <w:sz w:val="24"/>
              </w:rPr>
              <w:t>□新闻发布会</w:t>
            </w:r>
            <w:r>
              <w:rPr>
                <w:rFonts w:ascii="Times New Roman" w:hAnsi="Times New Roman" w:cs="MS Mincho"/>
                <w:sz w:val="24"/>
              </w:rPr>
              <w:t xml:space="preserve">      </w:t>
            </w:r>
            <w:r>
              <w:rPr>
                <w:rFonts w:hint="eastAsia" w:ascii="Times New Roman" w:hAnsi="Times New Roman" w:cs="MS Mincho"/>
                <w:sz w:val="24"/>
              </w:rPr>
              <w:t>□路演活动</w:t>
            </w:r>
            <w:r>
              <w:rPr>
                <w:rFonts w:ascii="Times New Roman" w:hAnsi="Times New Roman" w:cs="MS Mincho"/>
                <w:sz w:val="24"/>
              </w:rPr>
              <w:t xml:space="preserve">     </w:t>
            </w:r>
            <w:r>
              <w:rPr>
                <w:rFonts w:hint="eastAsia" w:ascii="Times New Roman" w:hAnsi="Times New Roman" w:cs="MS Mincho"/>
                <w:sz w:val="24"/>
              </w:rPr>
              <w:t>□其他（请文字说明其他活动内容）</w:t>
            </w:r>
          </w:p>
        </w:tc>
      </w:tr>
      <w:tr w14:paraId="2C5E8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jc w:val="center"/>
        </w:trPr>
        <w:tc>
          <w:tcPr>
            <w:tcW w:w="1565" w:type="dxa"/>
            <w:noWrap w:val="0"/>
            <w:vAlign w:val="center"/>
          </w:tcPr>
          <w:p w14:paraId="2228515B">
            <w:pPr>
              <w:rPr>
                <w:sz w:val="24"/>
                <w:szCs w:val="24"/>
              </w:rPr>
            </w:pPr>
            <w:r>
              <w:rPr>
                <w:rFonts w:hint="eastAsia"/>
                <w:sz w:val="24"/>
                <w:szCs w:val="24"/>
              </w:rPr>
              <w:t>时间</w:t>
            </w:r>
          </w:p>
        </w:tc>
        <w:tc>
          <w:tcPr>
            <w:tcW w:w="8429" w:type="dxa"/>
            <w:noWrap w:val="0"/>
            <w:vAlign w:val="center"/>
          </w:tcPr>
          <w:p w14:paraId="2F906F9A">
            <w:pPr>
              <w:rPr>
                <w:rFonts w:hint="default"/>
                <w:sz w:val="24"/>
                <w:szCs w:val="24"/>
                <w:lang w:val="en-US"/>
              </w:rPr>
            </w:pPr>
            <w:r>
              <w:rPr>
                <w:rFonts w:hint="eastAsia" w:ascii="宋体" w:hAnsi="宋体" w:eastAsia="宋体" w:cs="宋体"/>
                <w:bCs/>
                <w:iCs/>
                <w:color w:val="000000"/>
                <w:sz w:val="24"/>
                <w:highlight w:val="none"/>
              </w:rPr>
              <w:t>202</w:t>
            </w:r>
            <w:r>
              <w:rPr>
                <w:rFonts w:hint="eastAsia" w:ascii="宋体" w:hAnsi="宋体" w:cs="宋体"/>
                <w:bCs/>
                <w:iCs/>
                <w:color w:val="000000"/>
                <w:sz w:val="24"/>
                <w:highlight w:val="none"/>
                <w:lang w:val="en-US" w:eastAsia="zh-CN"/>
              </w:rPr>
              <w:t>6年9月</w:t>
            </w:r>
          </w:p>
        </w:tc>
      </w:tr>
      <w:tr w14:paraId="3B688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jc w:val="center"/>
        </w:trPr>
        <w:tc>
          <w:tcPr>
            <w:tcW w:w="1565" w:type="dxa"/>
            <w:noWrap w:val="0"/>
            <w:vAlign w:val="center"/>
          </w:tcPr>
          <w:p w14:paraId="4F5F6D54">
            <w:pPr>
              <w:rPr>
                <w:rFonts w:hint="default" w:eastAsia="宋体"/>
                <w:sz w:val="24"/>
                <w:szCs w:val="24"/>
                <w:lang w:val="en-US" w:eastAsia="zh-CN"/>
              </w:rPr>
            </w:pPr>
            <w:r>
              <w:rPr>
                <w:rFonts w:hint="eastAsia"/>
                <w:sz w:val="24"/>
                <w:szCs w:val="24"/>
                <w:lang w:val="en-US" w:eastAsia="zh-CN"/>
              </w:rPr>
              <w:t>参与单位</w:t>
            </w:r>
          </w:p>
        </w:tc>
        <w:tc>
          <w:tcPr>
            <w:tcW w:w="8429" w:type="dxa"/>
            <w:noWrap w:val="0"/>
            <w:vAlign w:val="center"/>
          </w:tcPr>
          <w:p w14:paraId="45F88028">
            <w:pPr>
              <w:spacing w:line="360" w:lineRule="auto"/>
              <w:ind w:left="0" w:leftChars="0" w:firstLine="0" w:firstLineChars="0"/>
              <w:rPr>
                <w:rFonts w:hint="default"/>
                <w:sz w:val="24"/>
                <w:szCs w:val="24"/>
                <w:lang w:val="en-US" w:eastAsia="zh-CN"/>
              </w:rPr>
            </w:pPr>
            <w:r>
              <w:rPr>
                <w:rFonts w:hint="eastAsia"/>
                <w:sz w:val="24"/>
                <w:szCs w:val="24"/>
                <w:lang w:val="en-US" w:eastAsia="zh-CN"/>
              </w:rPr>
              <w:t>业绩说明会：线上参与公司2026年半年度业绩说明会的投资者、线上参加重庆辖区上市公司2026年投资者网上集体接待日暨半年度业绩说明会的投资者</w:t>
            </w:r>
          </w:p>
          <w:p w14:paraId="65DEA4D0">
            <w:pPr>
              <w:spacing w:line="360" w:lineRule="auto"/>
              <w:ind w:left="0" w:leftChars="0" w:firstLine="0" w:firstLineChars="0"/>
              <w:rPr>
                <w:rFonts w:hint="default" w:ascii="宋体" w:hAnsi="宋体" w:eastAsia="宋体" w:cs="宋体"/>
                <w:bCs/>
                <w:iCs/>
                <w:color w:val="000000"/>
                <w:sz w:val="24"/>
                <w:highlight w:val="none"/>
                <w:lang w:val="en-US" w:eastAsia="zh-CN"/>
              </w:rPr>
            </w:pPr>
            <w:r>
              <w:rPr>
                <w:rFonts w:hint="eastAsia"/>
                <w:sz w:val="24"/>
                <w:szCs w:val="24"/>
                <w:lang w:val="en-US" w:eastAsia="zh-CN"/>
              </w:rPr>
              <w:t>现场参观：西部证券、东北证券、西南证券、福沃资本、华福证券、惠璞投资、上海证券、九一私募、国泰海通</w:t>
            </w:r>
          </w:p>
        </w:tc>
      </w:tr>
      <w:tr w14:paraId="14E66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jc w:val="center"/>
        </w:trPr>
        <w:tc>
          <w:tcPr>
            <w:tcW w:w="1565" w:type="dxa"/>
            <w:noWrap w:val="0"/>
            <w:vAlign w:val="center"/>
          </w:tcPr>
          <w:p w14:paraId="3D0E86BD">
            <w:pPr>
              <w:jc w:val="both"/>
              <w:rPr>
                <w:sz w:val="24"/>
                <w:szCs w:val="24"/>
              </w:rPr>
            </w:pPr>
            <w:r>
              <w:rPr>
                <w:rFonts w:hint="eastAsia"/>
                <w:sz w:val="24"/>
                <w:szCs w:val="24"/>
              </w:rPr>
              <w:t>地点</w:t>
            </w:r>
          </w:p>
        </w:tc>
        <w:tc>
          <w:tcPr>
            <w:tcW w:w="8429" w:type="dxa"/>
            <w:noWrap w:val="0"/>
            <w:vAlign w:val="center"/>
          </w:tcPr>
          <w:p w14:paraId="14891159">
            <w:pPr>
              <w:jc w:val="both"/>
              <w:rPr>
                <w:rFonts w:hint="eastAsia" w:eastAsia="宋体"/>
                <w:sz w:val="24"/>
                <w:szCs w:val="24"/>
                <w:lang w:val="en-US" w:eastAsia="zh-CN"/>
              </w:rPr>
            </w:pPr>
            <w:r>
              <w:rPr>
                <w:rFonts w:ascii="宋体" w:hAnsi="宋体" w:eastAsia="宋体" w:cs="宋体"/>
                <w:sz w:val="24"/>
                <w:szCs w:val="24"/>
              </w:rPr>
              <w:t>上海证券交易所上证路演中心</w:t>
            </w:r>
            <w:r>
              <w:rPr>
                <w:rFonts w:hint="eastAsia" w:ascii="宋体" w:hAnsi="宋体" w:cs="宋体"/>
                <w:sz w:val="24"/>
                <w:szCs w:val="24"/>
                <w:lang w:val="en-US" w:eastAsia="zh-CN"/>
              </w:rPr>
              <w:t>网络互动</w:t>
            </w:r>
            <w:r>
              <w:rPr>
                <w:rFonts w:hint="eastAsia"/>
                <w:sz w:val="24"/>
                <w:szCs w:val="24"/>
                <w:lang w:val="en-US" w:eastAsia="zh-CN"/>
              </w:rPr>
              <w:t>、公司通过全景网“投资者关系互动平台”（https://ir.p5w.net）采用网络远程的方式召开业绩说明会、再升科技办公楼</w:t>
            </w:r>
          </w:p>
        </w:tc>
      </w:tr>
      <w:tr w14:paraId="60339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jc w:val="center"/>
        </w:trPr>
        <w:tc>
          <w:tcPr>
            <w:tcW w:w="1565" w:type="dxa"/>
            <w:noWrap w:val="0"/>
            <w:vAlign w:val="center"/>
          </w:tcPr>
          <w:p w14:paraId="4B035B79">
            <w:pPr>
              <w:rPr>
                <w:rFonts w:hint="default" w:eastAsia="宋体"/>
                <w:sz w:val="24"/>
                <w:szCs w:val="24"/>
                <w:lang w:val="en-US" w:eastAsia="zh-CN"/>
              </w:rPr>
            </w:pPr>
            <w:r>
              <w:rPr>
                <w:rFonts w:hint="eastAsia"/>
                <w:sz w:val="24"/>
                <w:szCs w:val="24"/>
                <w:lang w:val="en-US" w:eastAsia="zh-CN"/>
              </w:rPr>
              <w:t>公司接待人名称及职务</w:t>
            </w:r>
          </w:p>
        </w:tc>
        <w:tc>
          <w:tcPr>
            <w:tcW w:w="8429" w:type="dxa"/>
            <w:noWrap w:val="0"/>
            <w:vAlign w:val="center"/>
          </w:tcPr>
          <w:p w14:paraId="74DAFC95">
            <w:pPr>
              <w:spacing w:line="360" w:lineRule="auto"/>
              <w:rPr>
                <w:rFonts w:hint="default"/>
                <w:sz w:val="24"/>
                <w:szCs w:val="24"/>
                <w:lang w:val="en-US" w:eastAsia="zh-CN"/>
              </w:rPr>
            </w:pPr>
            <w:r>
              <w:rPr>
                <w:rFonts w:hint="eastAsia"/>
                <w:sz w:val="24"/>
                <w:szCs w:val="24"/>
                <w:lang w:val="en-US" w:eastAsia="zh-CN"/>
              </w:rPr>
              <w:t>董事长：郭思含</w:t>
            </w:r>
          </w:p>
          <w:p w14:paraId="7498DB1C">
            <w:pPr>
              <w:spacing w:line="360" w:lineRule="auto"/>
              <w:rPr>
                <w:rFonts w:hint="eastAsia"/>
                <w:sz w:val="24"/>
                <w:szCs w:val="24"/>
                <w:lang w:val="en-US" w:eastAsia="zh-CN"/>
              </w:rPr>
            </w:pPr>
            <w:r>
              <w:rPr>
                <w:rFonts w:hint="eastAsia"/>
                <w:sz w:val="24"/>
                <w:szCs w:val="24"/>
                <w:lang w:val="en-US" w:eastAsia="zh-CN"/>
              </w:rPr>
              <w:t>独立董事：呙中喜、龙勇、盛学军</w:t>
            </w:r>
          </w:p>
          <w:p w14:paraId="61087B62">
            <w:pPr>
              <w:spacing w:line="360" w:lineRule="auto"/>
              <w:rPr>
                <w:rFonts w:hint="eastAsia"/>
                <w:sz w:val="24"/>
                <w:szCs w:val="24"/>
                <w:lang w:val="en-US" w:eastAsia="zh-CN"/>
              </w:rPr>
            </w:pPr>
            <w:r>
              <w:rPr>
                <w:rFonts w:hint="eastAsia"/>
                <w:sz w:val="24"/>
                <w:szCs w:val="24"/>
                <w:lang w:val="en-US" w:eastAsia="zh-CN"/>
              </w:rPr>
              <w:t>董事会秘书：韩旭鹏</w:t>
            </w:r>
          </w:p>
          <w:p w14:paraId="65384EAF">
            <w:pPr>
              <w:spacing w:line="360" w:lineRule="auto"/>
              <w:rPr>
                <w:rFonts w:hint="eastAsia"/>
                <w:sz w:val="24"/>
                <w:szCs w:val="24"/>
                <w:lang w:val="en-US" w:eastAsia="zh-CN"/>
              </w:rPr>
            </w:pPr>
            <w:r>
              <w:rPr>
                <w:rFonts w:hint="eastAsia"/>
                <w:sz w:val="24"/>
                <w:szCs w:val="24"/>
                <w:lang w:val="en-US" w:eastAsia="zh-CN"/>
              </w:rPr>
              <w:t>财务负责人：文逸</w:t>
            </w:r>
          </w:p>
          <w:p w14:paraId="2C697E9A">
            <w:pPr>
              <w:spacing w:line="360" w:lineRule="auto"/>
              <w:rPr>
                <w:rFonts w:hint="default"/>
                <w:sz w:val="24"/>
                <w:szCs w:val="24"/>
                <w:lang w:val="en-US" w:eastAsia="zh-CN"/>
              </w:rPr>
            </w:pPr>
            <w:r>
              <w:rPr>
                <w:rFonts w:hint="eastAsia"/>
                <w:sz w:val="24"/>
                <w:szCs w:val="24"/>
                <w:lang w:val="en-US" w:eastAsia="zh-CN"/>
              </w:rPr>
              <w:t>证券事务代表：朱子繁</w:t>
            </w:r>
          </w:p>
        </w:tc>
      </w:tr>
      <w:tr w14:paraId="6E1CE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1565" w:type="dxa"/>
            <w:noWrap w:val="0"/>
            <w:vAlign w:val="center"/>
          </w:tcPr>
          <w:p w14:paraId="61468A19">
            <w:pPr>
              <w:rPr>
                <w:sz w:val="24"/>
                <w:szCs w:val="24"/>
              </w:rPr>
            </w:pPr>
            <w:r>
              <w:rPr>
                <w:rFonts w:hint="eastAsia"/>
                <w:sz w:val="24"/>
                <w:szCs w:val="24"/>
              </w:rPr>
              <w:t>投资者关系活动主要内容介绍</w:t>
            </w:r>
          </w:p>
        </w:tc>
        <w:tc>
          <w:tcPr>
            <w:tcW w:w="8429" w:type="dxa"/>
            <w:noWrap w:val="0"/>
            <w:vAlign w:val="top"/>
          </w:tcPr>
          <w:p w14:paraId="2771789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rPr>
            </w:pPr>
            <w:r>
              <w:rPr>
                <w:rFonts w:hint="default" w:ascii="宋体"/>
                <w:sz w:val="24"/>
                <w:szCs w:val="24"/>
                <w:lang w:val="en-US"/>
              </w:rPr>
              <w:t>请问贵公司生产的航天材料较2025年有没有增加订单，收入占比是否增加？</w:t>
            </w:r>
          </w:p>
          <w:p w14:paraId="6919C3D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ascii="宋体" w:hAnsi="宋体" w:eastAsia="宋体" w:cs="宋体"/>
                <w:sz w:val="24"/>
                <w:szCs w:val="24"/>
              </w:rPr>
            </w:pPr>
            <w:r>
              <w:rPr>
                <w:rFonts w:hint="default" w:ascii="宋体"/>
                <w:sz w:val="24"/>
                <w:szCs w:val="24"/>
                <w:lang w:val="en-US"/>
              </w:rPr>
              <w:t>答</w:t>
            </w:r>
            <w:r>
              <w:rPr>
                <w:rFonts w:hint="eastAsia" w:ascii="宋体"/>
                <w:sz w:val="24"/>
                <w:szCs w:val="24"/>
                <w:lang w:val="en-US" w:eastAsia="zh-CN"/>
              </w:rPr>
              <w:t>：尊敬的投资者您好，公司将持续关注相关产业的发展机遇，依托自身在超细纤维领域的技术积淀，持续提升竞争能力。公司经营信息请以公司在上海证券交易所网站及指定信息披露媒体披露的定期报告及相关临时公告为准。感谢您的关注——爱干净空气，用再升科技</w:t>
            </w:r>
          </w:p>
          <w:p w14:paraId="3CC48E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14:paraId="71B7450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rPr>
            </w:pPr>
            <w:r>
              <w:rPr>
                <w:rFonts w:hint="default" w:ascii="宋体"/>
                <w:sz w:val="24"/>
                <w:szCs w:val="24"/>
                <w:lang w:val="en-US"/>
              </w:rPr>
              <w:t>石英纤维新业务今年能落地量产吗？</w:t>
            </w:r>
          </w:p>
          <w:p w14:paraId="4B39E97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ascii="宋体" w:hAnsi="宋体" w:eastAsia="宋体" w:cs="宋体"/>
                <w:sz w:val="24"/>
                <w:szCs w:val="24"/>
              </w:rPr>
            </w:pPr>
            <w:r>
              <w:rPr>
                <w:rFonts w:hint="default" w:ascii="宋体"/>
                <w:sz w:val="24"/>
                <w:szCs w:val="24"/>
                <w:lang w:val="en-US"/>
              </w:rPr>
              <w:t>答</w:t>
            </w:r>
            <w:r>
              <w:rPr>
                <w:rFonts w:hint="eastAsia" w:ascii="宋体"/>
                <w:sz w:val="24"/>
                <w:szCs w:val="24"/>
                <w:lang w:val="en-US" w:eastAsia="zh-CN"/>
              </w:rPr>
              <w:t>：尊敬的投资者您好，公司正有序推进石英纤维关键工艺及核心技术研发攻关，开展试验验证、工艺改进与技术提升工作。石英纤维生产工艺复杂、技术壁垒高，后续规模化量产、客户认证、市场拓展存在一定不确定性，未来该项目若有重大进展，公司将严格按规定履行信息披露义务，相关具体经营信息请以公司在上海证券交易所网站及指定信息披露媒体披露的定期报告及相关临时公告为准。感谢您对公司的关注——爱干净空气，用再升科技</w:t>
            </w:r>
          </w:p>
          <w:p w14:paraId="571FEC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14:paraId="491C10E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rPr>
            </w:pPr>
            <w:r>
              <w:rPr>
                <w:rFonts w:hint="default" w:ascii="宋体"/>
                <w:sz w:val="24"/>
                <w:szCs w:val="24"/>
                <w:lang w:val="en-US"/>
              </w:rPr>
              <w:t>二季度业绩回暖，下半年增速能维持吗？</w:t>
            </w:r>
          </w:p>
          <w:p w14:paraId="0C86C14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ascii="宋体" w:hAnsi="宋体" w:eastAsia="宋体" w:cs="宋体"/>
                <w:sz w:val="24"/>
                <w:szCs w:val="24"/>
              </w:rPr>
            </w:pPr>
            <w:r>
              <w:rPr>
                <w:rFonts w:hint="default" w:ascii="宋体"/>
                <w:sz w:val="24"/>
                <w:szCs w:val="24"/>
                <w:lang w:val="en-US"/>
              </w:rPr>
              <w:t>答</w:t>
            </w:r>
            <w:r>
              <w:rPr>
                <w:rFonts w:hint="eastAsia" w:ascii="宋体"/>
                <w:sz w:val="24"/>
                <w:szCs w:val="24"/>
                <w:lang w:val="en-US" w:eastAsia="zh-CN"/>
              </w:rPr>
              <w:t>：尊敬的投资者您好，公司将坚持“以材料为根、以链条为茎、以应用为叶、以价值为果”的发展理念，持续通过调结构、提高度、扩赛道，优化资源配置、深化数字化与智能化建设，多措并举夯实经营基本盘，稳步推动全年业务高质量发展。未来的经营业绩情况请您以公司后续披露的定期报告及相关公告为准。感谢您的关注——爱干净空气，用再升科技</w:t>
            </w:r>
          </w:p>
          <w:p w14:paraId="1887A6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sz w:val="24"/>
                <w:szCs w:val="24"/>
                <w:lang w:val="en-US" w:eastAsia="zh-CN"/>
              </w:rPr>
            </w:pPr>
          </w:p>
          <w:p w14:paraId="1D3DFB9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rPr>
            </w:pPr>
            <w:r>
              <w:rPr>
                <w:rFonts w:hint="default" w:ascii="宋体"/>
                <w:sz w:val="24"/>
                <w:szCs w:val="24"/>
                <w:lang w:val="en-US"/>
              </w:rPr>
              <w:t>1.石英纤维目前样品是否已经送样至头部客户？目前处于哪个验证阶段？2.试制产线的设计产能、当前良品率大概是多少？是否有明确的小批量量产时间规划？3.石英纤维产品目前可达到的指标，是否能够满足高频电子、航天领域的使用要求？4.石英纤维项目累计投入多少，未来是否会进一步资本开支扩产？</w:t>
            </w:r>
          </w:p>
          <w:p w14:paraId="6A7AD1A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宋体"/>
                <w:sz w:val="24"/>
                <w:szCs w:val="24"/>
                <w:lang w:val="en-US" w:eastAsia="zh-CN"/>
              </w:rPr>
            </w:pPr>
            <w:r>
              <w:rPr>
                <w:rFonts w:hint="default" w:ascii="宋体"/>
                <w:sz w:val="24"/>
                <w:szCs w:val="24"/>
                <w:lang w:val="en-US"/>
              </w:rPr>
              <w:t>答</w:t>
            </w:r>
            <w:r>
              <w:rPr>
                <w:rFonts w:hint="eastAsia" w:ascii="宋体"/>
                <w:sz w:val="24"/>
                <w:szCs w:val="24"/>
                <w:lang w:val="en-US" w:eastAsia="zh-CN"/>
              </w:rPr>
              <w:t>：尊敬的投资者您好，石英纤维作为高端新材料，凭借耐高温、低介电常数、高绝缘性等特征，在多个高端领域有广泛应用。公司正有序推进石英纤维关键工艺及核心技术研发攻关，开展试验验证、工艺改进与技术提升工作。石英纤维生产工艺复杂、技术壁垒高，后续规模化量产、客户认证、市场拓展存在一定不确定性，未来该项目若有重大进展，公司将严格按规定履行信息披露义务，相关具体经营信息请以公司在上海证券交易所网站及指定信息披露媒体披露的定期报告及相关临时公告为准。感谢您对公司的关注——爱干净空气，用再升科技</w:t>
            </w:r>
          </w:p>
          <w:p w14:paraId="2D4A65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sz w:val="24"/>
                <w:szCs w:val="24"/>
                <w:lang w:val="en-US" w:eastAsia="zh-CN"/>
              </w:rPr>
            </w:pPr>
          </w:p>
          <w:p w14:paraId="3F0070D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rPr>
            </w:pPr>
            <w:r>
              <w:rPr>
                <w:rFonts w:hint="default" w:ascii="宋体"/>
                <w:sz w:val="24"/>
                <w:szCs w:val="24"/>
                <w:lang w:val="en-US"/>
              </w:rPr>
              <w:t>请问公司的业务是如何划分的？干净空气材料、高效节能材料和无尘空调产品主要包含哪些细分产品？</w:t>
            </w:r>
          </w:p>
          <w:p w14:paraId="01B5B87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ascii="宋体" w:hAnsi="宋体" w:eastAsia="宋体" w:cs="宋体"/>
                <w:sz w:val="24"/>
                <w:szCs w:val="24"/>
              </w:rPr>
            </w:pPr>
            <w:r>
              <w:rPr>
                <w:rFonts w:hint="eastAsia" w:ascii="宋体" w:hAnsi="宋体" w:cs="宋体"/>
                <w:sz w:val="24"/>
                <w:szCs w:val="24"/>
                <w:lang w:val="en-US" w:eastAsia="zh-CN"/>
              </w:rPr>
              <w:t>答：</w:t>
            </w:r>
            <w:r>
              <w:rPr>
                <w:rFonts w:ascii="宋体" w:hAnsi="宋体" w:eastAsia="宋体" w:cs="宋体"/>
                <w:sz w:val="24"/>
                <w:szCs w:val="24"/>
              </w:rPr>
              <w:t>公司业务按产品分为干净空气材料、高效节能材料、无尘空调产品三大板块，同时面向工业、移动、生活三大空间提供系统化产品方案，实现全产业链自主生产。干净空气材料包含高效空气滤材、高效PTFE膜、低阻熔喷滤料、玻纤空气过滤毡/过滤袋；高效节能材料包含超细纤维棉、真空绝热板芯材及膜材、铅酸蓄电池隔板、航空隔音隔热棉、高硅氧纤维、绿色建筑节能保温材料；无尘空调产品包含家居舒适无尘空调系统、各类</w:t>
            </w:r>
            <w:r>
              <w:rPr>
                <w:rFonts w:hint="eastAsia" w:ascii="宋体" w:hAnsi="宋体" w:cs="宋体"/>
                <w:sz w:val="24"/>
                <w:szCs w:val="24"/>
                <w:lang w:val="en-US" w:eastAsia="zh-CN"/>
              </w:rPr>
              <w:t>工业</w:t>
            </w:r>
            <w:r>
              <w:rPr>
                <w:rFonts w:ascii="宋体" w:hAnsi="宋体" w:eastAsia="宋体" w:cs="宋体"/>
                <w:sz w:val="24"/>
                <w:szCs w:val="24"/>
              </w:rPr>
              <w:t>过滤器、配套配件与工程服务。材料板块为终端业务提供底层技术支撑，</w:t>
            </w:r>
            <w:r>
              <w:rPr>
                <w:rFonts w:hint="eastAsia" w:ascii="宋体" w:hAnsi="宋体" w:cs="宋体"/>
                <w:sz w:val="24"/>
                <w:szCs w:val="24"/>
                <w:lang w:val="en-US" w:eastAsia="zh-CN"/>
              </w:rPr>
              <w:t>各板块收入情况的具体信息</w:t>
            </w:r>
            <w:r>
              <w:rPr>
                <w:rFonts w:ascii="宋体" w:hAnsi="宋体" w:eastAsia="宋体" w:cs="宋体"/>
                <w:sz w:val="24"/>
                <w:szCs w:val="24"/>
              </w:rPr>
              <w:t>请参见2026</w:t>
            </w:r>
            <w:r>
              <w:rPr>
                <w:rFonts w:hint="eastAsia" w:ascii="宋体" w:hAnsi="宋体" w:cs="宋体"/>
                <w:sz w:val="24"/>
                <w:szCs w:val="24"/>
                <w:lang w:val="en-US" w:eastAsia="zh-CN"/>
              </w:rPr>
              <w:t>年</w:t>
            </w:r>
            <w:r>
              <w:rPr>
                <w:rFonts w:ascii="宋体" w:hAnsi="宋体" w:eastAsia="宋体" w:cs="宋体"/>
                <w:sz w:val="24"/>
                <w:szCs w:val="24"/>
              </w:rPr>
              <w:t>半年度报告。</w:t>
            </w:r>
          </w:p>
          <w:p w14:paraId="74824081">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p w14:paraId="585ECDB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rPr>
            </w:pPr>
            <w:r>
              <w:rPr>
                <w:rFonts w:hint="default" w:ascii="宋体"/>
                <w:sz w:val="24"/>
                <w:szCs w:val="24"/>
                <w:lang w:val="en-US"/>
              </w:rPr>
              <w:t>上半年综合毛利率同比下降4.15个百分点，但二季度环比提升1.17个百分点。请问毛利率变动的原因是什么？公司采取了哪些应对措施？如何看待后续毛利率走势？</w:t>
            </w:r>
          </w:p>
          <w:p w14:paraId="01E60A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hint="eastAsia" w:ascii="宋体"/>
                <w:sz w:val="24"/>
                <w:szCs w:val="24"/>
                <w:lang w:val="en-US" w:eastAsia="zh-CN"/>
              </w:rPr>
            </w:pPr>
            <w:r>
              <w:rPr>
                <w:rFonts w:hint="eastAsia" w:ascii="宋体"/>
                <w:sz w:val="24"/>
                <w:szCs w:val="24"/>
                <w:lang w:val="en-US" w:eastAsia="zh-CN"/>
              </w:rPr>
              <w:t>答：上半年综合毛利率下降，主要原因是上游原材料价格持续上行，公司部分产品采购成本抬升，主营业务盈利空间承压。为缓解成本上涨压力，公司结合市场环境与产品成本结构，对部分产品实施价格调整，以缓解原材料上涨对公司的影响，夯实主业经营韧性。在市场竞争策略上，公司坚持价值导向的发展定位，持续优化产品结构，拓展高附加值产品与高端应用场景，依托核心技术积累与产品性能优势构建差异化竞争力，不参与低价同质化竞争，规避行业过度内卷，保障业务盈利质量与长期可持续发展空间。二季度毛利率环比提升1.17个百分点，表明公司价格调整和产品结构优化措施已初见成效。后续毛利率走势将取决于原材料价格变化、产品结构优化进度以及下游需求情况，公司将继续通过产品定价优化、业务拓量增收等多重施策，持续优化盈利能力。</w:t>
            </w:r>
          </w:p>
          <w:p w14:paraId="71A1ED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sz w:val="24"/>
                <w:szCs w:val="24"/>
                <w:lang w:val="en-US" w:eastAsia="zh-CN"/>
              </w:rPr>
            </w:pPr>
          </w:p>
          <w:p w14:paraId="0AF3936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rPr>
            </w:pPr>
            <w:r>
              <w:rPr>
                <w:rFonts w:hint="default" w:ascii="宋体"/>
                <w:sz w:val="24"/>
                <w:szCs w:val="24"/>
                <w:lang w:val="en-US"/>
              </w:rPr>
              <w:t>半年报看到家用净化过滤组件、汽车空调过滤器上半年分别同比增长68.37%、69.84%并且实现扭亏为盈，这两块业务高增长的驱动因素是什么？如何看待这两个消费类业务后续的持续性，是否会面临行业竞争加剧的压力？</w:t>
            </w:r>
          </w:p>
          <w:p w14:paraId="0C20174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ascii="宋体" w:hAnsi="宋体" w:eastAsia="宋体" w:cs="宋体"/>
                <w:sz w:val="24"/>
                <w:szCs w:val="24"/>
              </w:rPr>
            </w:pPr>
            <w:r>
              <w:rPr>
                <w:rFonts w:hint="eastAsia" w:ascii="宋体" w:hAnsi="宋体" w:cs="宋体"/>
                <w:sz w:val="24"/>
                <w:szCs w:val="24"/>
                <w:lang w:val="en-US" w:eastAsia="zh-CN"/>
              </w:rPr>
              <w:t>答：</w:t>
            </w:r>
            <w:r>
              <w:rPr>
                <w:rFonts w:ascii="宋体" w:hAnsi="宋体" w:eastAsia="宋体" w:cs="宋体"/>
                <w:sz w:val="24"/>
                <w:szCs w:val="24"/>
              </w:rPr>
              <w:t>报告期内，家用空气净化过滤组件、汽车空调过滤器实现收入较快增长并扭亏，一方面是公司依托自身过滤材料的底层技术积累，持续迭代产品性能，匹配下游整机厂、车厂的产品标准；另一方面公司加大渠道拓展，家用板块强化与家电整机厂商协同，汽车空调过滤器推进前装配套</w:t>
            </w:r>
            <w:r>
              <w:rPr>
                <w:rFonts w:hint="eastAsia" w:ascii="宋体" w:hAnsi="宋体" w:cs="宋体"/>
                <w:sz w:val="24"/>
                <w:szCs w:val="24"/>
                <w:lang w:val="en-US" w:eastAsia="zh-CN"/>
              </w:rPr>
              <w:t>与</w:t>
            </w:r>
            <w:r>
              <w:rPr>
                <w:rFonts w:ascii="宋体" w:hAnsi="宋体" w:eastAsia="宋体" w:cs="宋体"/>
                <w:sz w:val="24"/>
                <w:szCs w:val="24"/>
              </w:rPr>
              <w:t>后市场双渠道布局，订单逐步释放，叠加定价优化、规模效应显现，带动板块盈利修复。消费赛道市场参与者较多，竞争客观存在。公司的核心优势在于全产业链垂直整合，原材料自主可控，可以快速响应客户定制化需求。后续公司将持续打磨产品、优化渠道布局，拓展更多优质客户。</w:t>
            </w:r>
          </w:p>
          <w:p w14:paraId="0B626F1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p w14:paraId="0B659E7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宋体"/>
                <w:sz w:val="24"/>
                <w:szCs w:val="24"/>
                <w:lang w:val="en-US" w:eastAsia="zh-CN"/>
              </w:rPr>
            </w:pPr>
            <w:r>
              <w:rPr>
                <w:rFonts w:hint="eastAsia" w:ascii="宋体"/>
                <w:sz w:val="24"/>
                <w:szCs w:val="24"/>
                <w:lang w:val="en-US" w:eastAsia="zh-CN"/>
              </w:rPr>
              <w:t>“再22转债”已于2026年1月完成赎回，有息负债全额清偿。请问这对公司财务费用和资产负债结构产生了哪些具体影响？</w:t>
            </w:r>
          </w:p>
          <w:p w14:paraId="38EA103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答：</w:t>
            </w:r>
            <w:r>
              <w:rPr>
                <w:rFonts w:hint="eastAsia" w:ascii="宋体" w:hAnsi="宋体" w:eastAsia="宋体" w:cs="宋体"/>
                <w:sz w:val="24"/>
                <w:szCs w:val="24"/>
                <w:lang w:val="en-US" w:eastAsia="zh-CN"/>
              </w:rPr>
              <w:t>本次可转债赎回落地后，公司2026年度利息费用将显著下降，对2026年度整体经营利润形成正向贡献。公司资产负债结构得到进一步优化，长期偿债能力进一步提升，财务稳健性持续巩固，也为公司后续经营发展所需融资安排、控制综合融资成本创造了有利条件。</w:t>
            </w:r>
          </w:p>
          <w:p w14:paraId="075C67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lang w:eastAsia="zh-CN"/>
              </w:rPr>
            </w:pPr>
          </w:p>
          <w:p w14:paraId="4BC1D46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eastAsia="zh-CN"/>
              </w:rPr>
            </w:pPr>
            <w:r>
              <w:rPr>
                <w:rFonts w:hint="default" w:ascii="宋体"/>
                <w:sz w:val="24"/>
                <w:szCs w:val="24"/>
                <w:lang w:val="en-US" w:eastAsia="zh-CN"/>
              </w:rPr>
              <w:t>年产600吨石英纤维项目已完成审批备案，请问项目接下来的开工建设计划？设备采购进度如何？样品送下游客户验证进展，预计什么时候进入小批量试生产？</w:t>
            </w:r>
          </w:p>
          <w:p w14:paraId="160065E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default" w:ascii="宋体" w:hAnsi="宋体" w:cs="宋体"/>
                <w:sz w:val="24"/>
                <w:szCs w:val="24"/>
                <w:lang w:val="en-US" w:eastAsia="zh-CN"/>
              </w:rPr>
            </w:pPr>
            <w:r>
              <w:rPr>
                <w:rFonts w:hint="eastAsia" w:ascii="宋体" w:hAnsi="宋体" w:cs="宋体"/>
                <w:sz w:val="24"/>
                <w:szCs w:val="24"/>
                <w:lang w:val="en-US" w:eastAsia="zh-CN"/>
              </w:rPr>
              <w:t>答：</w:t>
            </w:r>
            <w:r>
              <w:rPr>
                <w:rFonts w:hint="default" w:ascii="宋体" w:hAnsi="宋体" w:cs="宋体"/>
                <w:sz w:val="24"/>
                <w:szCs w:val="24"/>
                <w:lang w:val="en-US" w:eastAsia="zh-CN"/>
              </w:rPr>
              <w:t>尊敬的投资者您好，有关公司石英纤维项目的具体情况，请以公司在上交所及指定信息披露平台发布的公告为准。公司当前正有序推进石英纤维工艺优化、性能提升以及应用验证，完善试制体系。石英纤维生产工艺复杂、技术壁垒高，后续规模化量产、客户认证、市场拓展存在一定不确定性，未来该项目若有重大进展，公司将及时按规定履行信息披露义务，相关经营信息请以公司在上海证券交易所网站及指定信息披露媒体披露的定期报告及相关临时公告为准。感谢您的关注——爱干净空气，用再升科技</w:t>
            </w:r>
          </w:p>
          <w:p w14:paraId="7725DF06">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ascii="宋体" w:hAnsi="宋体"/>
                <w:sz w:val="24"/>
                <w:szCs w:val="24"/>
              </w:rPr>
            </w:pPr>
          </w:p>
          <w:p w14:paraId="323667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eastAsia="zh-CN"/>
              </w:rPr>
            </w:pPr>
            <w:r>
              <w:rPr>
                <w:rFonts w:hint="default" w:ascii="宋体"/>
                <w:sz w:val="24"/>
                <w:szCs w:val="24"/>
                <w:lang w:val="en-US" w:eastAsia="zh-CN"/>
              </w:rPr>
              <w:t>石英纤维进展如何了</w:t>
            </w:r>
          </w:p>
          <w:p w14:paraId="26FA732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default" w:ascii="宋体" w:hAnsi="宋体" w:cs="宋体"/>
                <w:sz w:val="24"/>
                <w:szCs w:val="24"/>
                <w:lang w:val="en-US" w:eastAsia="zh-CN"/>
              </w:rPr>
            </w:pPr>
            <w:r>
              <w:rPr>
                <w:rFonts w:hint="eastAsia" w:ascii="宋体" w:hAnsi="宋体" w:cs="宋体"/>
                <w:sz w:val="24"/>
                <w:szCs w:val="24"/>
                <w:lang w:val="en-US" w:eastAsia="zh-CN"/>
              </w:rPr>
              <w:t>答：</w:t>
            </w:r>
            <w:r>
              <w:rPr>
                <w:rFonts w:hint="default" w:ascii="宋体" w:hAnsi="宋体" w:cs="宋体"/>
                <w:sz w:val="24"/>
                <w:szCs w:val="24"/>
                <w:lang w:val="en-US" w:eastAsia="zh-CN"/>
              </w:rPr>
              <w:t>尊敬的投资者您好，公司正有序推进石英纤维关键工艺及核心技术研发攻关，开展试验验证、工艺改进与技术提升工作。石英纤维生产工艺复杂、技术壁垒高，后续规模化量产、客户认证、市场拓展存在一定不确定性，未来该项目若有重大进展，公司将严格按规定履行信息披露义务，相关具体经营信息请以公司在上海证券交易所网站及指定信息披露媒体披露的定期报告及相关临时公告为准。感谢您对公司的关注——爱干净空气，用再升科技</w:t>
            </w:r>
          </w:p>
          <w:p w14:paraId="4C7107DC">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ascii="宋体" w:hAnsi="宋体"/>
                <w:sz w:val="24"/>
                <w:szCs w:val="24"/>
              </w:rPr>
            </w:pPr>
          </w:p>
          <w:p w14:paraId="627958E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eastAsia="zh-CN"/>
              </w:rPr>
            </w:pPr>
            <w:r>
              <w:rPr>
                <w:rFonts w:hint="default" w:ascii="宋体"/>
                <w:sz w:val="24"/>
                <w:szCs w:val="24"/>
                <w:lang w:val="en-US" w:eastAsia="zh-CN"/>
              </w:rPr>
              <w:t>冰箱新能耗带来订单与产能利用情况以及业绩贡献</w:t>
            </w:r>
          </w:p>
          <w:p w14:paraId="7500E3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default" w:ascii="宋体" w:hAnsi="宋体" w:cs="宋体"/>
                <w:sz w:val="24"/>
                <w:szCs w:val="24"/>
                <w:lang w:val="en-US" w:eastAsia="zh-CN"/>
              </w:rPr>
            </w:pPr>
            <w:r>
              <w:rPr>
                <w:rFonts w:hint="eastAsia" w:ascii="宋体" w:hAnsi="宋体" w:cs="宋体"/>
                <w:sz w:val="24"/>
                <w:szCs w:val="24"/>
                <w:lang w:val="en-US" w:eastAsia="zh-CN"/>
              </w:rPr>
              <w:t>答：</w:t>
            </w:r>
            <w:r>
              <w:rPr>
                <w:rFonts w:hint="default" w:ascii="宋体" w:hAnsi="宋体" w:cs="宋体"/>
                <w:sz w:val="24"/>
                <w:szCs w:val="24"/>
                <w:lang w:val="en-US" w:eastAsia="zh-CN"/>
              </w:rPr>
              <w:t>尊敬的投资者您好，市场监管总局（国家标准委）发布的GB 12021.2—2025《家用电冰箱耗电量限定值及能效等级》国家标准已于2026年6月1日起正式实施，新国标相较于2015年旧版标准，在能效指标、容积利用率等多方面进行了重大调整。在政策的推动与消费者选择高能效商品的共同作用下，将倒逼冰箱企业采用低厚度、高性能的绝热材料，为真空绝热板在家用冰箱市场快速渗透提供机遇。今年第二季度公司高效节能材料板块收入同比增长10.05%，更多具体经营信息请以公司在上海证券交易所网站及指定信息披露媒体披露的定期报告及相关临时公告为准。感谢您的关注——爱干净空气，用再升科技</w:t>
            </w:r>
          </w:p>
          <w:p w14:paraId="4FD19CE5">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宋体" w:hAnsi="宋体"/>
                <w:b/>
                <w:sz w:val="24"/>
                <w:szCs w:val="24"/>
                <w:lang w:eastAsia="zh-CN"/>
              </w:rPr>
            </w:pPr>
          </w:p>
          <w:p w14:paraId="0897C12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宋体"/>
                <w:sz w:val="24"/>
                <w:szCs w:val="24"/>
                <w:lang w:val="en-US" w:eastAsia="zh-CN"/>
              </w:rPr>
            </w:pPr>
            <w:r>
              <w:rPr>
                <w:rFonts w:hint="default" w:ascii="宋体"/>
                <w:sz w:val="24"/>
                <w:szCs w:val="24"/>
                <w:lang w:val="en-US" w:eastAsia="zh-CN"/>
              </w:rPr>
              <w:t>请问公司石英纤维项目，目前试制产线工艺优化进度如何？样品是否已经送下游客户验证？预计什么时候能够实现小批量量产，该产品目前是否已经产生营收？</w:t>
            </w:r>
          </w:p>
          <w:p w14:paraId="19FAC54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default" w:ascii="宋体" w:hAnsi="宋体" w:cs="宋体"/>
                <w:sz w:val="24"/>
                <w:szCs w:val="24"/>
                <w:lang w:val="en-US" w:eastAsia="zh-CN"/>
              </w:rPr>
            </w:pPr>
            <w:r>
              <w:rPr>
                <w:rFonts w:hint="eastAsia" w:ascii="宋体" w:hAnsi="宋体" w:cs="宋体"/>
                <w:sz w:val="24"/>
                <w:szCs w:val="24"/>
                <w:lang w:val="en-US" w:eastAsia="zh-CN"/>
              </w:rPr>
              <w:t>答：</w:t>
            </w:r>
            <w:bookmarkStart w:id="0" w:name="_GoBack"/>
            <w:bookmarkEnd w:id="0"/>
            <w:r>
              <w:rPr>
                <w:rFonts w:hint="default" w:ascii="宋体" w:hAnsi="宋体" w:cs="宋体"/>
                <w:sz w:val="24"/>
                <w:szCs w:val="24"/>
                <w:lang w:val="en-US" w:eastAsia="zh-CN"/>
              </w:rPr>
              <w:t>尊敬的投资者您好，公司正有序推进石英纤维关键工艺及核心技术研发攻关，开展试验验证、工艺改进与技术提升工作。石英纤维生产工艺复杂、技术壁垒高，后续规模化量产、客户认证、市场拓展存在一定不确定性，未来该项目若有重大进展，公司将严格按规定履行信息披露义务，相关具体经营信息请以公司在上海证券交易所网站及指定信息披露媒体披露的定期报告及相关临时公告为准。感谢您对公司的关注——爱干净空气，用再升科技</w:t>
            </w:r>
          </w:p>
          <w:p w14:paraId="26D9CCBA">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宋体" w:hAnsi="宋体"/>
                <w:b/>
                <w:sz w:val="24"/>
                <w:szCs w:val="24"/>
                <w:lang w:eastAsia="zh-CN"/>
              </w:rPr>
            </w:pPr>
          </w:p>
        </w:tc>
      </w:tr>
      <w:tr w14:paraId="183A9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1565" w:type="dxa"/>
            <w:noWrap w:val="0"/>
            <w:vAlign w:val="center"/>
          </w:tcPr>
          <w:p w14:paraId="7D79C5D9">
            <w:pPr>
              <w:rPr>
                <w:rFonts w:hint="eastAsia"/>
                <w:sz w:val="24"/>
                <w:szCs w:val="24"/>
              </w:rPr>
            </w:pPr>
            <w:r>
              <w:rPr>
                <w:rFonts w:hint="eastAsia"/>
                <w:sz w:val="24"/>
                <w:szCs w:val="24"/>
              </w:rPr>
              <w:t>附件清单（如有）</w:t>
            </w:r>
          </w:p>
        </w:tc>
        <w:tc>
          <w:tcPr>
            <w:tcW w:w="8429" w:type="dxa"/>
            <w:noWrap w:val="0"/>
            <w:vAlign w:val="top"/>
          </w:tcPr>
          <w:p w14:paraId="52AF99FB">
            <w:pPr>
              <w:spacing w:before="98" w:line="228" w:lineRule="auto"/>
              <w:ind w:right="108" w:rightChars="0"/>
              <w:rPr>
                <w:rFonts w:hint="default" w:ascii="宋体"/>
                <w:sz w:val="22"/>
                <w:szCs w:val="21"/>
                <w:lang w:val="en-US"/>
              </w:rPr>
            </w:pPr>
            <w:r>
              <w:rPr>
                <w:rFonts w:hint="eastAsia" w:ascii="宋体" w:hAnsi="宋体" w:eastAsia="宋体" w:cs="仿宋"/>
                <w:sz w:val="22"/>
                <w:szCs w:val="22"/>
              </w:rPr>
              <w:t>无</w:t>
            </w:r>
          </w:p>
        </w:tc>
      </w:tr>
    </w:tbl>
    <w:p w14:paraId="51E01BD5">
      <w:pPr>
        <w:rPr>
          <w:rFonts w:hint="eastAsia"/>
        </w:rPr>
      </w:pPr>
    </w:p>
    <w:p w14:paraId="27D284D0"/>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C39E">
    <w:pPr>
      <w:pStyle w:val="4"/>
      <w:tabs>
        <w:tab w:val="clear" w:pos="4153"/>
      </w:tabs>
      <w:jc w:val="right"/>
    </w:pPr>
    <w:r>
      <w:rPr>
        <w:rFonts w:hint="eastAsia"/>
      </w:rPr>
      <w:t>重庆</w:t>
    </w:r>
    <w:r>
      <w:rPr>
        <w:rFonts w:hint="eastAsia"/>
        <w:lang w:val="en-US" w:eastAsia="zh-CN"/>
      </w:rPr>
      <w:t>再升科技</w:t>
    </w:r>
    <w:r>
      <w:rPr>
        <w:rFonts w:hint="eastAsia"/>
      </w:rPr>
      <w:t>股份有限公司投资者关系活动记录表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525245"/>
    <w:multiLevelType w:val="singleLevel"/>
    <w:tmpl w:val="7B525245"/>
    <w:lvl w:ilvl="0" w:tentative="0">
      <w:start w:val="1"/>
      <w:numFmt w:val="chineseCounting"/>
      <w:suff w:val="nothing"/>
      <w:lvlText w:val="（%1） "/>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3NTlhNGJhZTk1YmZkMTc2MTM0MTg2MGI3NTFmMTEifQ=="/>
  </w:docVars>
  <w:rsids>
    <w:rsidRoot w:val="00000000"/>
    <w:rsid w:val="03FB03BA"/>
    <w:rsid w:val="0BD0719F"/>
    <w:rsid w:val="0D794027"/>
    <w:rsid w:val="16C90D2B"/>
    <w:rsid w:val="1CB2496B"/>
    <w:rsid w:val="1E290438"/>
    <w:rsid w:val="21E02501"/>
    <w:rsid w:val="267B18BF"/>
    <w:rsid w:val="28437165"/>
    <w:rsid w:val="2A5664A2"/>
    <w:rsid w:val="3D9D5B59"/>
    <w:rsid w:val="411E2BC2"/>
    <w:rsid w:val="477C3188"/>
    <w:rsid w:val="486F26F2"/>
    <w:rsid w:val="4A51076B"/>
    <w:rsid w:val="4B577FE6"/>
    <w:rsid w:val="4FA90297"/>
    <w:rsid w:val="59305AFF"/>
    <w:rsid w:val="61B42C51"/>
    <w:rsid w:val="670E1BEF"/>
    <w:rsid w:val="6FD80C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sz w:val="24"/>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Hyperlink"/>
    <w:basedOn w:val="8"/>
    <w:unhideWhenUsed/>
    <w:qFormat/>
    <w:uiPriority w:val="99"/>
    <w:rPr>
      <w:color w:val="0563C1"/>
      <w:u w:val="single"/>
    </w:rPr>
  </w:style>
  <w:style w:type="paragraph" w:customStyle="1" w:styleId="10">
    <w:name w:val="_Style 6"/>
    <w:basedOn w:val="1"/>
    <w:qFormat/>
    <w:uiPriority w:val="34"/>
    <w:pPr>
      <w:ind w:firstLine="420" w:firstLineChars="200"/>
    </w:pPr>
    <w:rPr>
      <w:rFonts w:ascii="Calibri" w:hAnsi="Calibri" w:eastAsia="宋体" w:cs="Times New Roman"/>
    </w:rPr>
  </w:style>
  <w:style w:type="paragraph" w:styleId="11">
    <w:name w:val="List Paragraph"/>
    <w:basedOn w:val="1"/>
    <w:autoRedefine/>
    <w:qFormat/>
    <w:uiPriority w:val="34"/>
    <w:pPr>
      <w:ind w:firstLine="420" w:firstLineChars="200"/>
    </w:pPr>
  </w:style>
  <w:style w:type="table" w:customStyle="1" w:styleId="12">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2403</Words>
  <Characters>2464</Characters>
  <Lines>0</Lines>
  <Paragraphs>0</Paragraphs>
  <TotalTime>1</TotalTime>
  <ScaleCrop>false</ScaleCrop>
  <LinksUpToDate>false</LinksUpToDate>
  <CharactersWithSpaces>2534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2023-06-30T02:03:00Z</dcterms:created>
  <dc:creator>Administrator</dc:creator>
  <cp:lastModifiedBy>在下小猪是也</cp:lastModifiedBy>
  <dcterms:modified xsi:type="dcterms:W3CDTF">2026-09-29T07:47:05Z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95D3ECD94B854063B64A943DBAB6B97D_13</vt:lpwstr>
  </property>
  <property fmtid="{D5CDD505-2E9C-101B-9397-08002B2CF9AE}" pid="4" name="KSOTemplateDocerSaveRecord">
    <vt:lpwstr>eyJoZGlkIjoiMGZjZDI0NjA1Yzc2MTU3ZGZiYmU1NGNjMWZmZWRhZTkiLCJ1c2VySWQiOiIyNjg1NDc4NzkifQ==</vt:lpwstr>
  </property>
</Properties>
</file>