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1" w:line="218" w:lineRule="auto"/>
        <w:ind w:left="126" w:firstLine="478" w:firstLineChars="200"/>
      </w:pPr>
      <w:r>
        <w:rPr>
          <w:b/>
          <w:bCs/>
          <w:spacing w:val="-1"/>
        </w:rPr>
        <w:t>股票代码：</w:t>
      </w:r>
      <w:r>
        <w:rPr>
          <w:rFonts w:hint="eastAsia"/>
          <w:b/>
          <w:bCs/>
          <w:spacing w:val="-1"/>
          <w:lang w:val="en-US" w:eastAsia="zh-CN"/>
        </w:rPr>
        <w:t>603373</w:t>
      </w:r>
      <w:r>
        <w:rPr>
          <w:spacing w:val="-1"/>
        </w:rPr>
        <w:t xml:space="preserve">        </w:t>
      </w:r>
      <w:r>
        <w:rPr>
          <w:rFonts w:hint="eastAsia"/>
          <w:spacing w:val="-1"/>
          <w:lang w:val="en-US" w:eastAsia="zh-CN"/>
        </w:rPr>
        <w:t xml:space="preserve">      </w:t>
      </w:r>
      <w:r>
        <w:rPr>
          <w:rFonts w:hint="default"/>
          <w:spacing w:val="-1"/>
          <w:lang w:val="en-US" w:eastAsia="zh-CN"/>
        </w:rPr>
        <w:t xml:space="preserve">                           </w:t>
      </w:r>
      <w:r>
        <w:rPr>
          <w:b/>
          <w:bCs/>
          <w:spacing w:val="-1"/>
        </w:rPr>
        <w:t>证券简称：</w:t>
      </w:r>
      <w:r>
        <w:rPr>
          <w:rFonts w:hint="eastAsia"/>
          <w:b/>
          <w:bCs/>
          <w:spacing w:val="-1"/>
          <w:lang w:val="en-US" w:eastAsia="zh-CN"/>
        </w:rPr>
        <w:t>安邦护卫</w:t>
      </w:r>
      <w:r>
        <w:rPr>
          <w:spacing w:val="-1"/>
        </w:rPr>
        <w:t xml:space="preserve"> </w:t>
      </w:r>
    </w:p>
    <w:p>
      <w:pPr>
        <w:spacing w:before="117" w:line="220" w:lineRule="auto"/>
        <w:ind w:left="2782"/>
        <w:outlineLvl w:val="0"/>
        <w:rPr>
          <w:rFonts w:ascii="宋体" w:hAnsi="宋体" w:eastAsia="宋体" w:cs="宋体"/>
          <w:b/>
          <w:bCs/>
          <w:spacing w:val="-5"/>
          <w:sz w:val="36"/>
          <w:szCs w:val="36"/>
        </w:rPr>
      </w:pPr>
    </w:p>
    <w:p>
      <w:pPr>
        <w:spacing w:before="117" w:line="220" w:lineRule="auto"/>
        <w:jc w:val="center"/>
        <w:outlineLvl w:val="0"/>
        <w:rPr>
          <w:rFonts w:ascii="宋体" w:hAnsi="宋体" w:eastAsia="宋体" w:cs="宋体"/>
          <w:sz w:val="36"/>
          <w:szCs w:val="36"/>
        </w:rPr>
      </w:pPr>
      <w:r>
        <w:rPr>
          <w:rFonts w:hint="eastAsia" w:ascii="黑体" w:hAnsi="黑体" w:eastAsia="黑体" w:cs="黑体"/>
          <w:b/>
          <w:bCs/>
          <w:color w:val="FF0000"/>
          <w:spacing w:val="-4"/>
          <w:sz w:val="36"/>
          <w:szCs w:val="36"/>
          <w:lang w:val="en-US" w:eastAsia="zh-CN"/>
        </w:rPr>
        <w:t>安邦护卫集团股份有限</w:t>
      </w:r>
      <w:r>
        <w:rPr>
          <w:rFonts w:ascii="黑体" w:hAnsi="黑体" w:eastAsia="黑体" w:cs="黑体"/>
          <w:b/>
          <w:bCs/>
          <w:color w:val="FF0000"/>
          <w:spacing w:val="-4"/>
          <w:sz w:val="36"/>
          <w:szCs w:val="36"/>
        </w:rPr>
        <w:t>公司</w:t>
      </w:r>
    </w:p>
    <w:p>
      <w:pPr>
        <w:spacing w:before="273" w:line="220" w:lineRule="auto"/>
        <w:jc w:val="center"/>
        <w:outlineLvl w:val="0"/>
        <w:rPr>
          <w:rFonts w:ascii="宋体" w:hAnsi="宋体" w:eastAsia="宋体" w:cs="宋体"/>
          <w:sz w:val="36"/>
          <w:szCs w:val="36"/>
        </w:rPr>
      </w:pPr>
      <w:r>
        <w:rPr>
          <w:rFonts w:hint="eastAsia" w:ascii="黑体" w:hAnsi="黑体" w:eastAsia="黑体" w:cs="黑体"/>
          <w:b/>
          <w:bCs/>
          <w:color w:val="FF0000"/>
          <w:spacing w:val="-4"/>
          <w:sz w:val="36"/>
          <w:szCs w:val="36"/>
          <w:lang w:val="en-US" w:eastAsia="zh-CN"/>
        </w:rPr>
        <w:t>投资者关系活动记录表</w:t>
      </w:r>
    </w:p>
    <w:p>
      <w:pPr>
        <w:spacing w:line="248" w:lineRule="auto"/>
        <w:rPr>
          <w:rFonts w:ascii="Arial"/>
          <w:sz w:val="21"/>
        </w:rPr>
      </w:pPr>
    </w:p>
    <w:p>
      <w:pPr>
        <w:spacing w:before="78" w:line="220" w:lineRule="auto"/>
        <w:ind w:left="7137" w:firstLine="448" w:firstLineChars="200"/>
        <w:rPr>
          <w:rFonts w:hint="eastAsia" w:ascii="宋体" w:hAnsi="宋体" w:eastAsia="宋体" w:cs="宋体"/>
          <w:sz w:val="24"/>
          <w:szCs w:val="24"/>
          <w:lang w:val="en-US" w:eastAsia="zh-CN"/>
        </w:rPr>
      </w:pPr>
      <w:r>
        <w:rPr>
          <w:rFonts w:ascii="宋体" w:hAnsi="宋体" w:eastAsia="宋体" w:cs="宋体"/>
          <w:spacing w:val="-8"/>
          <w:sz w:val="24"/>
          <w:szCs w:val="24"/>
        </w:rPr>
        <w:t>记录表编号：202</w:t>
      </w:r>
      <w:r>
        <w:rPr>
          <w:rFonts w:hint="eastAsia" w:ascii="宋体" w:hAnsi="宋体" w:eastAsia="宋体" w:cs="宋体"/>
          <w:spacing w:val="-8"/>
          <w:sz w:val="24"/>
          <w:szCs w:val="24"/>
          <w:lang w:val="en-US" w:eastAsia="zh-CN"/>
        </w:rPr>
        <w:t>6</w:t>
      </w:r>
      <w:r>
        <w:rPr>
          <w:rFonts w:ascii="宋体" w:hAnsi="宋体" w:eastAsia="宋体" w:cs="宋体"/>
          <w:spacing w:val="-8"/>
          <w:sz w:val="24"/>
          <w:szCs w:val="24"/>
        </w:rPr>
        <w:t>-00</w:t>
      </w:r>
      <w:r>
        <w:rPr>
          <w:rFonts w:hint="eastAsia" w:ascii="宋体" w:hAnsi="宋体" w:eastAsia="宋体" w:cs="宋体"/>
          <w:spacing w:val="-8"/>
          <w:sz w:val="24"/>
          <w:szCs w:val="24"/>
          <w:lang w:val="en-US" w:eastAsia="zh-CN"/>
        </w:rPr>
        <w:t>2</w:t>
      </w:r>
    </w:p>
    <w:p>
      <w:pPr>
        <w:spacing w:line="29" w:lineRule="exact"/>
      </w:pPr>
    </w:p>
    <w:tbl>
      <w:tblPr>
        <w:tblStyle w:val="7"/>
        <w:tblW w:w="100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4"/>
        <w:gridCol w:w="2550"/>
        <w:gridCol w:w="59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9" w:hRule="atLeast"/>
        </w:trPr>
        <w:tc>
          <w:tcPr>
            <w:tcW w:w="1574"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before="221" w:line="140" w:lineRule="exact"/>
              <w:jc w:val="center"/>
              <w:textAlignment w:val="baseline"/>
              <w:rPr>
                <w:b/>
                <w:bCs/>
              </w:rPr>
            </w:pPr>
            <w:r>
              <w:rPr>
                <w:b/>
                <w:bCs/>
              </w:rPr>
              <w:t>投资者关系</w:t>
            </w:r>
          </w:p>
          <w:p>
            <w:pPr>
              <w:pStyle w:val="8"/>
              <w:keepNext w:val="0"/>
              <w:keepLines w:val="0"/>
              <w:pageBreakBefore w:val="0"/>
              <w:widowControl/>
              <w:kinsoku w:val="0"/>
              <w:wordWrap/>
              <w:overflowPunct/>
              <w:topLinePunct w:val="0"/>
              <w:autoSpaceDE w:val="0"/>
              <w:autoSpaceDN w:val="0"/>
              <w:bidi w:val="0"/>
              <w:adjustRightInd w:val="0"/>
              <w:snapToGrid w:val="0"/>
              <w:spacing w:before="221" w:line="140" w:lineRule="exact"/>
              <w:jc w:val="center"/>
              <w:textAlignment w:val="baseline"/>
              <w:rPr>
                <w:b/>
                <w:bCs/>
                <w:spacing w:val="-4"/>
              </w:rPr>
            </w:pPr>
            <w:r>
              <w:rPr>
                <w:b/>
                <w:bCs/>
              </w:rPr>
              <w:t>活动类别</w:t>
            </w:r>
          </w:p>
        </w:tc>
        <w:tc>
          <w:tcPr>
            <w:tcW w:w="2550" w:type="dxa"/>
            <w:tcBorders>
              <w:right w:val="nil"/>
            </w:tcBorders>
            <w:vAlign w:val="top"/>
          </w:tcPr>
          <w:p>
            <w:pPr>
              <w:pStyle w:val="8"/>
              <w:spacing w:before="133" w:line="220" w:lineRule="auto"/>
              <w:ind w:left="140" w:firstLine="460" w:firstLineChars="200"/>
            </w:pPr>
            <w:r>
              <w:rPr>
                <w:rFonts w:hint="default"/>
                <w:spacing w:val="-5"/>
                <w:lang w:val="en-US" w:eastAsia="zh-CN"/>
              </w:rPr>
              <w:t>□</w:t>
            </w:r>
            <w:r>
              <w:rPr>
                <w:spacing w:val="-5"/>
              </w:rPr>
              <w:t>特定对象调研</w:t>
            </w:r>
          </w:p>
          <w:p>
            <w:pPr>
              <w:pStyle w:val="8"/>
              <w:spacing w:before="196" w:line="219" w:lineRule="auto"/>
              <w:ind w:left="140" w:firstLine="452" w:firstLineChars="200"/>
            </w:pPr>
            <w:r>
              <w:rPr>
                <w:spacing w:val="-7"/>
              </w:rPr>
              <w:t>□媒体采访</w:t>
            </w:r>
          </w:p>
          <w:p>
            <w:pPr>
              <w:pStyle w:val="8"/>
              <w:spacing w:before="227" w:line="219" w:lineRule="auto"/>
              <w:ind w:left="140" w:firstLine="456" w:firstLineChars="200"/>
            </w:pPr>
            <w:r>
              <w:rPr>
                <w:spacing w:val="-6"/>
              </w:rPr>
              <w:t>□新闻发布会</w:t>
            </w:r>
          </w:p>
          <w:p>
            <w:pPr>
              <w:pStyle w:val="8"/>
              <w:spacing w:before="267" w:line="220" w:lineRule="auto"/>
              <w:ind w:left="140" w:firstLine="452" w:firstLineChars="200"/>
            </w:pPr>
            <w:r>
              <w:rPr>
                <w:rFonts w:hint="eastAsia"/>
                <w:spacing w:val="-7"/>
                <w:lang w:val="en-US" w:eastAsia="zh-CN"/>
              </w:rPr>
              <w:t>□</w:t>
            </w:r>
            <w:r>
              <w:rPr>
                <w:spacing w:val="-7"/>
              </w:rPr>
              <w:t>现场参观</w:t>
            </w:r>
          </w:p>
        </w:tc>
        <w:tc>
          <w:tcPr>
            <w:tcW w:w="5900" w:type="dxa"/>
            <w:tcBorders>
              <w:left w:val="nil"/>
            </w:tcBorders>
            <w:vAlign w:val="top"/>
          </w:tcPr>
          <w:p>
            <w:pPr>
              <w:pStyle w:val="8"/>
              <w:spacing w:before="134" w:line="219" w:lineRule="auto"/>
              <w:ind w:left="797" w:firstLine="456" w:firstLineChars="200"/>
            </w:pPr>
            <w:r>
              <w:rPr>
                <w:spacing w:val="-6"/>
              </w:rPr>
              <w:t>□分析师会议</w:t>
            </w:r>
          </w:p>
          <w:p>
            <w:pPr>
              <w:pStyle w:val="8"/>
              <w:spacing w:before="197" w:line="219" w:lineRule="auto"/>
              <w:ind w:left="797" w:firstLine="456" w:firstLineChars="200"/>
            </w:pPr>
            <w:r>
              <w:rPr>
                <w:rFonts w:hint="eastAsia"/>
                <w:spacing w:val="-6"/>
                <w:lang w:eastAsia="zh-CN"/>
              </w:rPr>
              <w:t>☑</w:t>
            </w:r>
            <w:r>
              <w:rPr>
                <w:spacing w:val="-6"/>
              </w:rPr>
              <w:t>业绩说明会</w:t>
            </w:r>
          </w:p>
          <w:p>
            <w:pPr>
              <w:pStyle w:val="8"/>
              <w:spacing w:before="226" w:line="220" w:lineRule="auto"/>
              <w:ind w:left="797" w:firstLine="452" w:firstLineChars="200"/>
            </w:pPr>
            <w:r>
              <w:rPr>
                <w:rFonts w:hint="eastAsia"/>
                <w:spacing w:val="-7"/>
                <w:lang w:eastAsia="zh-CN"/>
              </w:rPr>
              <w:t>□</w:t>
            </w:r>
            <w:r>
              <w:rPr>
                <w:spacing w:val="-7"/>
              </w:rPr>
              <w:t>路演活动</w:t>
            </w:r>
          </w:p>
          <w:p>
            <w:pPr>
              <w:pStyle w:val="8"/>
              <w:spacing w:before="266" w:line="219" w:lineRule="auto"/>
              <w:ind w:left="797" w:firstLine="452" w:firstLineChars="200"/>
            </w:pPr>
            <w:r>
              <w:rPr>
                <w:rFonts w:hint="eastAsia"/>
                <w:spacing w:val="-7"/>
                <w:lang w:eastAsia="zh-CN"/>
              </w:rPr>
              <w:t>□</w:t>
            </w:r>
            <w:r>
              <w:rPr>
                <w:spacing w:val="-5"/>
              </w:rPr>
              <w:t>其他：电话会议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0" w:hRule="atLeast"/>
        </w:trPr>
        <w:tc>
          <w:tcPr>
            <w:tcW w:w="1574" w:type="dxa"/>
            <w:vAlign w:val="center"/>
          </w:tcPr>
          <w:p>
            <w:pPr>
              <w:pStyle w:val="8"/>
              <w:spacing w:before="221" w:line="224" w:lineRule="auto"/>
              <w:jc w:val="center"/>
              <w:rPr>
                <w:b/>
                <w:bCs/>
                <w:spacing w:val="-5"/>
              </w:rPr>
            </w:pPr>
            <w:r>
              <w:rPr>
                <w:b/>
                <w:bCs/>
              </w:rPr>
              <w:t>参与单位名称及人员姓名</w:t>
            </w:r>
          </w:p>
        </w:tc>
        <w:tc>
          <w:tcPr>
            <w:tcW w:w="8450" w:type="dxa"/>
            <w:gridSpan w:val="2"/>
            <w:vAlign w:val="center"/>
          </w:tcPr>
          <w:p>
            <w:pPr>
              <w:pStyle w:val="8"/>
              <w:spacing w:before="153" w:line="232" w:lineRule="auto"/>
              <w:ind w:right="4"/>
              <w:jc w:val="both"/>
            </w:pPr>
            <w:r>
              <w:rPr>
                <w:rFonts w:hint="eastAsia"/>
                <w:lang w:val="en-US" w:eastAsia="zh-CN"/>
              </w:rPr>
              <w:t>通过网络平台提问</w:t>
            </w:r>
            <w:r>
              <w:rPr>
                <w:rFonts w:hint="eastAsia"/>
                <w:lang w:eastAsia="zh-CN"/>
              </w:rPr>
              <w:t>的</w:t>
            </w:r>
            <w:r>
              <w:rPr>
                <w:rFonts w:hint="eastAsia"/>
              </w:rPr>
              <w:t>投资</w:t>
            </w:r>
            <w:r>
              <w:rPr>
                <w:rFonts w:hint="eastAsia"/>
                <w:lang w:val="en-US" w:eastAsia="zh-CN"/>
              </w:rPr>
              <w:t>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574" w:type="dxa"/>
            <w:vAlign w:val="top"/>
          </w:tcPr>
          <w:p>
            <w:pPr>
              <w:pStyle w:val="8"/>
              <w:spacing w:before="221" w:line="224" w:lineRule="auto"/>
              <w:ind w:left="552"/>
              <w:rPr>
                <w:b/>
                <w:bCs/>
                <w:spacing w:val="-5"/>
              </w:rPr>
            </w:pPr>
            <w:r>
              <w:rPr>
                <w:b/>
                <w:bCs/>
                <w:spacing w:val="-5"/>
              </w:rPr>
              <w:t>时间</w:t>
            </w:r>
          </w:p>
        </w:tc>
        <w:tc>
          <w:tcPr>
            <w:tcW w:w="8450" w:type="dxa"/>
            <w:gridSpan w:val="2"/>
            <w:vAlign w:val="center"/>
          </w:tcPr>
          <w:p>
            <w:pPr>
              <w:pStyle w:val="8"/>
              <w:spacing w:before="202" w:line="220" w:lineRule="auto"/>
              <w:jc w:val="both"/>
            </w:pPr>
            <w:r>
              <w:rPr>
                <w:spacing w:val="-1"/>
              </w:rPr>
              <w:t>202</w:t>
            </w:r>
            <w:r>
              <w:rPr>
                <w:rFonts w:hint="eastAsia"/>
                <w:spacing w:val="-1"/>
                <w:lang w:val="en-US" w:eastAsia="zh-CN"/>
              </w:rPr>
              <w:t>6</w:t>
            </w:r>
            <w:r>
              <w:rPr>
                <w:spacing w:val="-1"/>
              </w:rPr>
              <w:t>年</w:t>
            </w:r>
            <w:r>
              <w:rPr>
                <w:rFonts w:hint="eastAsia"/>
                <w:spacing w:val="-1"/>
                <w:lang w:val="en-US" w:eastAsia="zh-CN"/>
              </w:rPr>
              <w:t>9</w:t>
            </w:r>
            <w:r>
              <w:rPr>
                <w:spacing w:val="-1"/>
              </w:rPr>
              <w:t>月</w:t>
            </w:r>
            <w:r>
              <w:rPr>
                <w:rFonts w:hint="eastAsia"/>
                <w:spacing w:val="-1"/>
                <w:lang w:val="en-US" w:eastAsia="zh-CN"/>
              </w:rPr>
              <w:t>29</w:t>
            </w:r>
            <w:r>
              <w:rPr>
                <w:rFonts w:hint="eastAsia"/>
                <w:spacing w:val="-1"/>
              </w:rPr>
              <w:t>日</w:t>
            </w:r>
            <w:r>
              <w:rPr>
                <w:rFonts w:hint="eastAsia"/>
                <w:bCs/>
                <w:iCs/>
                <w:color w:val="000000"/>
                <w:sz w:val="24"/>
                <w:lang w:val="en-US" w:eastAsia="zh-CN"/>
              </w:rPr>
              <w:t>上</w:t>
            </w:r>
            <w:r>
              <w:rPr>
                <w:bCs/>
                <w:iCs/>
                <w:color w:val="000000"/>
                <w:sz w:val="24"/>
              </w:rPr>
              <w:t>午1</w:t>
            </w:r>
            <w:r>
              <w:rPr>
                <w:rFonts w:hint="eastAsia"/>
                <w:bCs/>
                <w:iCs/>
                <w:color w:val="000000"/>
                <w:sz w:val="24"/>
                <w:lang w:val="en-US" w:eastAsia="zh-CN"/>
              </w:rPr>
              <w:t>0</w:t>
            </w:r>
            <w:r>
              <w:rPr>
                <w:bCs/>
                <w:iCs/>
                <w:color w:val="000000"/>
                <w:sz w:val="24"/>
              </w:rPr>
              <w:t>:00</w:t>
            </w:r>
            <w:r>
              <w:rPr>
                <w:rFonts w:hint="eastAsia"/>
                <w:bCs/>
                <w:iCs/>
                <w:color w:val="000000"/>
                <w:sz w:val="24"/>
                <w:lang w:val="en-US" w:eastAsia="zh-CN"/>
              </w:rPr>
              <w:t>-</w:t>
            </w:r>
            <w:r>
              <w:rPr>
                <w:bCs/>
                <w:iCs/>
                <w:color w:val="000000"/>
                <w:sz w:val="24"/>
              </w:rPr>
              <w:t>1</w:t>
            </w:r>
            <w:r>
              <w:rPr>
                <w:rFonts w:hint="eastAsia"/>
                <w:bCs/>
                <w:iCs/>
                <w:color w:val="000000"/>
                <w:sz w:val="24"/>
                <w:lang w:val="en-US" w:eastAsia="zh-CN"/>
              </w:rPr>
              <w:t>1</w:t>
            </w:r>
            <w:r>
              <w:rPr>
                <w:bCs/>
                <w:iCs/>
                <w:color w:val="000000"/>
                <w:sz w:val="24"/>
              </w:rPr>
              <w:t>:00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574" w:type="dxa"/>
            <w:vAlign w:val="top"/>
          </w:tcPr>
          <w:p>
            <w:pPr>
              <w:pStyle w:val="8"/>
              <w:spacing w:before="221" w:line="224" w:lineRule="auto"/>
              <w:ind w:left="552"/>
            </w:pPr>
            <w:r>
              <w:rPr>
                <w:b/>
                <w:bCs/>
                <w:spacing w:val="-5"/>
              </w:rPr>
              <w:t>地点</w:t>
            </w:r>
          </w:p>
        </w:tc>
        <w:tc>
          <w:tcPr>
            <w:tcW w:w="8450" w:type="dxa"/>
            <w:gridSpan w:val="2"/>
            <w:vAlign w:val="center"/>
          </w:tcPr>
          <w:p>
            <w:pPr>
              <w:pStyle w:val="8"/>
              <w:spacing w:before="204" w:line="219" w:lineRule="auto"/>
              <w:jc w:val="both"/>
              <w:rPr>
                <w:rFonts w:hint="default" w:eastAsia="宋体"/>
                <w:lang w:val="en-US" w:eastAsia="zh-CN"/>
              </w:rPr>
            </w:pPr>
            <w:r>
              <w:rPr>
                <w:rFonts w:ascii="宋体" w:hAnsi="宋体" w:eastAsia="宋体" w:cs="宋体"/>
                <w:spacing w:val="-11"/>
                <w:kern w:val="13"/>
                <w:sz w:val="24"/>
                <w:szCs w:val="24"/>
              </w:rPr>
              <w:t>上海证券报·中国证券网（https://roadshow.cnstock.com/）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574" w:type="dxa"/>
            <w:vAlign w:val="top"/>
          </w:tcPr>
          <w:p>
            <w:pPr>
              <w:pStyle w:val="8"/>
              <w:spacing w:before="191" w:line="230" w:lineRule="auto"/>
              <w:ind w:left="313" w:right="62" w:hanging="240"/>
            </w:pPr>
            <w:r>
              <w:rPr>
                <w:b/>
                <w:bCs/>
                <w:spacing w:val="-4"/>
              </w:rPr>
              <w:t>上市公司接待</w:t>
            </w:r>
            <w:r>
              <w:t xml:space="preserve"> </w:t>
            </w:r>
            <w:r>
              <w:rPr>
                <w:b/>
                <w:bCs/>
                <w:spacing w:val="-5"/>
              </w:rPr>
              <w:t>人员姓名</w:t>
            </w:r>
          </w:p>
        </w:tc>
        <w:tc>
          <w:tcPr>
            <w:tcW w:w="8450" w:type="dxa"/>
            <w:gridSpan w:val="2"/>
            <w:vAlign w:val="center"/>
          </w:tcPr>
          <w:p>
            <w:pPr>
              <w:rPr>
                <w:rFonts w:hint="default"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en-US" w:bidi="ar-SA"/>
              </w:rPr>
              <w:t>董事</w:t>
            </w:r>
            <w:r>
              <w:rPr>
                <w:rFonts w:hint="eastAsia" w:ascii="宋体" w:hAnsi="宋体" w:eastAsia="宋体" w:cs="宋体"/>
                <w:snapToGrid w:val="0"/>
                <w:color w:val="000000"/>
                <w:kern w:val="0"/>
                <w:sz w:val="24"/>
                <w:szCs w:val="24"/>
                <w:lang w:val="en-US" w:eastAsia="zh-CN" w:bidi="ar-SA"/>
              </w:rPr>
              <w:t>长</w:t>
            </w:r>
            <w:r>
              <w:rPr>
                <w:rFonts w:hint="eastAsia" w:ascii="宋体" w:hAnsi="宋体" w:eastAsia="宋体" w:cs="宋体"/>
                <w:snapToGrid w:val="0"/>
                <w:color w:val="000000"/>
                <w:kern w:val="0"/>
                <w:sz w:val="24"/>
                <w:szCs w:val="24"/>
                <w:lang w:val="en-US" w:eastAsia="en-US" w:bidi="ar-SA"/>
              </w:rPr>
              <w:t>、党委书记</w:t>
            </w:r>
            <w:r>
              <w:rPr>
                <w:rFonts w:hint="eastAsia" w:ascii="宋体" w:hAnsi="宋体" w:eastAsia="宋体" w:cs="宋体"/>
                <w:snapToGrid w:val="0"/>
                <w:color w:val="000000"/>
                <w:kern w:val="0"/>
                <w:sz w:val="24"/>
                <w:szCs w:val="24"/>
                <w:lang w:val="en-US" w:eastAsia="zh-CN" w:bidi="ar-SA"/>
              </w:rPr>
              <w:t>：谢伟</w:t>
            </w:r>
          </w:p>
          <w:p>
            <w:pPr>
              <w:rPr>
                <w:rFonts w:hint="default"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副总经理、财务负责人：邵珏</w:t>
            </w:r>
          </w:p>
          <w:p>
            <w:pPr>
              <w:rPr>
                <w:rFonts w:hint="default" w:ascii="宋体" w:hAnsi="宋体" w:eastAsia="宋体" w:cs="宋体"/>
                <w:snapToGrid w:val="0"/>
                <w:color w:val="000000"/>
                <w:kern w:val="0"/>
                <w:sz w:val="24"/>
                <w:szCs w:val="24"/>
                <w:lang w:val="en-US" w:eastAsia="zh-CN" w:bidi="ar-SA"/>
              </w:rPr>
            </w:pPr>
            <w:r>
              <w:rPr>
                <w:rFonts w:hint="eastAsia" w:ascii="宋体" w:hAnsi="宋体" w:eastAsia="宋体" w:cs="宋体"/>
                <w:snapToGrid w:val="0"/>
                <w:color w:val="000000"/>
                <w:kern w:val="0"/>
                <w:sz w:val="24"/>
                <w:szCs w:val="24"/>
                <w:lang w:val="en-US" w:eastAsia="zh-CN" w:bidi="ar-SA"/>
              </w:rPr>
              <w:t>独立董事：马文超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5" w:hRule="atLeast"/>
        </w:trPr>
        <w:tc>
          <w:tcPr>
            <w:tcW w:w="1574" w:type="dxa"/>
            <w:vAlign w:val="top"/>
          </w:tcPr>
          <w:p>
            <w:pPr>
              <w:spacing w:line="252" w:lineRule="auto"/>
              <w:rPr>
                <w:rFonts w:ascii="Arial"/>
                <w:sz w:val="21"/>
              </w:rPr>
            </w:pPr>
          </w:p>
          <w:p>
            <w:pPr>
              <w:spacing w:line="252"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宋体" w:hAnsi="宋体" w:eastAsia="宋体" w:cs="宋体"/>
                <w:b/>
                <w:bCs/>
                <w:snapToGrid w:val="0"/>
                <w:color w:val="000000"/>
                <w:spacing w:val="-4"/>
                <w:kern w:val="0"/>
                <w:sz w:val="24"/>
                <w:szCs w:val="24"/>
                <w:lang w:val="en-US" w:eastAsia="en-US" w:bidi="ar-SA"/>
              </w:rPr>
            </w:pPr>
          </w:p>
          <w:p>
            <w:pPr>
              <w:pStyle w:val="8"/>
              <w:keepNext w:val="0"/>
              <w:keepLines w:val="0"/>
              <w:pageBreakBefore w:val="0"/>
              <w:widowControl/>
              <w:kinsoku w:val="0"/>
              <w:wordWrap/>
              <w:overflowPunct/>
              <w:topLinePunct w:val="0"/>
              <w:autoSpaceDE w:val="0"/>
              <w:autoSpaceDN w:val="0"/>
              <w:bidi w:val="0"/>
              <w:adjustRightInd w:val="0"/>
              <w:snapToGrid w:val="0"/>
              <w:spacing w:before="78" w:line="240" w:lineRule="exact"/>
              <w:jc w:val="center"/>
              <w:textAlignment w:val="baseline"/>
              <w:rPr>
                <w:rFonts w:ascii="宋体" w:hAnsi="宋体" w:eastAsia="宋体" w:cs="宋体"/>
                <w:b/>
                <w:bCs/>
                <w:snapToGrid w:val="0"/>
                <w:color w:val="000000"/>
                <w:spacing w:val="-4"/>
                <w:kern w:val="0"/>
                <w:sz w:val="24"/>
                <w:szCs w:val="24"/>
                <w:lang w:val="en-US" w:eastAsia="en-US" w:bidi="ar-SA"/>
              </w:rPr>
            </w:pPr>
            <w:r>
              <w:rPr>
                <w:rFonts w:ascii="宋体" w:hAnsi="宋体" w:eastAsia="宋体" w:cs="宋体"/>
                <w:b/>
                <w:bCs/>
                <w:snapToGrid w:val="0"/>
                <w:color w:val="000000"/>
                <w:spacing w:val="-4"/>
                <w:kern w:val="0"/>
                <w:sz w:val="24"/>
                <w:szCs w:val="24"/>
                <w:lang w:val="en-US" w:eastAsia="en-US" w:bidi="ar-SA"/>
              </w:rPr>
              <w:t>投资者关系</w:t>
            </w:r>
          </w:p>
          <w:p>
            <w:pPr>
              <w:pStyle w:val="8"/>
              <w:keepNext w:val="0"/>
              <w:keepLines w:val="0"/>
              <w:pageBreakBefore w:val="0"/>
              <w:widowControl/>
              <w:kinsoku w:val="0"/>
              <w:wordWrap/>
              <w:overflowPunct/>
              <w:topLinePunct w:val="0"/>
              <w:autoSpaceDE w:val="0"/>
              <w:autoSpaceDN w:val="0"/>
              <w:bidi w:val="0"/>
              <w:adjustRightInd w:val="0"/>
              <w:snapToGrid w:val="0"/>
              <w:spacing w:before="78" w:line="240" w:lineRule="exact"/>
              <w:jc w:val="center"/>
              <w:textAlignment w:val="baseline"/>
              <w:rPr>
                <w:rFonts w:ascii="宋体" w:hAnsi="宋体" w:eastAsia="宋体" w:cs="宋体"/>
                <w:b/>
                <w:bCs/>
                <w:snapToGrid w:val="0"/>
                <w:color w:val="000000"/>
                <w:spacing w:val="-4"/>
                <w:kern w:val="0"/>
                <w:sz w:val="24"/>
                <w:szCs w:val="24"/>
                <w:lang w:val="en-US" w:eastAsia="en-US" w:bidi="ar-SA"/>
              </w:rPr>
            </w:pPr>
            <w:r>
              <w:rPr>
                <w:rFonts w:ascii="宋体" w:hAnsi="宋体" w:eastAsia="宋体" w:cs="宋体"/>
                <w:b/>
                <w:bCs/>
                <w:snapToGrid w:val="0"/>
                <w:color w:val="000000"/>
                <w:spacing w:val="-4"/>
                <w:kern w:val="0"/>
                <w:sz w:val="24"/>
                <w:szCs w:val="24"/>
                <w:lang w:val="en-US" w:eastAsia="en-US" w:bidi="ar-SA"/>
              </w:rPr>
              <w:t>活动主要内容</w:t>
            </w:r>
          </w:p>
          <w:p>
            <w:pPr>
              <w:pStyle w:val="8"/>
              <w:keepNext w:val="0"/>
              <w:keepLines w:val="0"/>
              <w:pageBreakBefore w:val="0"/>
              <w:widowControl/>
              <w:kinsoku w:val="0"/>
              <w:wordWrap/>
              <w:overflowPunct/>
              <w:topLinePunct w:val="0"/>
              <w:autoSpaceDE w:val="0"/>
              <w:autoSpaceDN w:val="0"/>
              <w:bidi w:val="0"/>
              <w:adjustRightInd w:val="0"/>
              <w:snapToGrid w:val="0"/>
              <w:spacing w:before="78" w:line="240" w:lineRule="exact"/>
              <w:jc w:val="center"/>
              <w:textAlignment w:val="baseline"/>
            </w:pPr>
            <w:r>
              <w:rPr>
                <w:rFonts w:ascii="宋体" w:hAnsi="宋体" w:eastAsia="宋体" w:cs="宋体"/>
                <w:b/>
                <w:bCs/>
                <w:snapToGrid w:val="0"/>
                <w:color w:val="000000"/>
                <w:spacing w:val="-4"/>
                <w:kern w:val="0"/>
                <w:sz w:val="24"/>
                <w:szCs w:val="24"/>
                <w:lang w:val="en-US" w:eastAsia="en-US" w:bidi="ar-SA"/>
              </w:rPr>
              <w:t>介绍</w:t>
            </w:r>
          </w:p>
        </w:tc>
        <w:tc>
          <w:tcPr>
            <w:tcW w:w="8450" w:type="dxa"/>
            <w:gridSpan w:val="2"/>
            <w:vAlign w:val="top"/>
          </w:tcPr>
          <w:p>
            <w:pPr>
              <w:spacing w:before="156" w:beforeLines="50" w:line="460" w:lineRule="exact"/>
              <w:ind w:firstLine="482" w:firstLineChars="200"/>
              <w:rPr>
                <w:rFonts w:hint="eastAsia" w:ascii="宋体" w:hAnsi="宋体" w:eastAsia="宋体" w:cs="宋体"/>
                <w:b/>
                <w:sz w:val="24"/>
              </w:rPr>
            </w:pPr>
            <w:r>
              <w:rPr>
                <w:rFonts w:hint="eastAsia" w:ascii="宋体" w:hAnsi="宋体" w:eastAsia="宋体" w:cs="宋体"/>
                <w:b/>
                <w:sz w:val="24"/>
              </w:rPr>
              <w:t>投资者提出的问题及公司回复情况</w:t>
            </w:r>
          </w:p>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公司就投资者在本次说明会中提出的问题进行了回复：</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2" w:firstLineChars="200"/>
              <w:jc w:val="left"/>
              <w:rPr>
                <w:rFonts w:hint="eastAsia" w:ascii="宋体" w:hAnsi="宋体" w:eastAsia="宋体" w:cs="宋体"/>
                <w:kern w:val="0"/>
                <w:sz w:val="24"/>
                <w:szCs w:val="24"/>
              </w:rPr>
            </w:pPr>
            <w:r>
              <w:rPr>
                <w:rStyle w:val="13"/>
                <w:rFonts w:hint="eastAsia" w:ascii="宋体" w:hAnsi="宋体" w:eastAsia="宋体" w:cs="宋体"/>
                <w:b/>
                <w:bCs w:val="0"/>
                <w:i w:val="0"/>
                <w:iCs w:val="0"/>
                <w:caps w:val="0"/>
                <w:color w:val="000000"/>
                <w:spacing w:val="0"/>
                <w:sz w:val="24"/>
                <w:szCs w:val="24"/>
                <w:shd w:val="clear" w:fill="FFFFFF"/>
                <w:lang w:val="en-US" w:eastAsia="zh-CN" w:bidi="ar"/>
              </w:rPr>
              <w:t>1.公司上半年利润增速比营收快那么多，主要原因是什么？</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0" w:firstLineChars="200"/>
              <w:jc w:val="left"/>
              <w:rPr>
                <w:rFonts w:hint="eastAsia" w:ascii="宋体" w:hAnsi="宋体" w:eastAsia="宋体" w:cs="宋体"/>
                <w:kern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答：尊敬的投资者您好！公司利润增速快于营收，主要得益于业务结构持续优化和成本管控成效显现。上半年综合智能安防及社会综合治理服务营收增加，低空安全等新兴业务开始贡献收入，同时公司持续推进全面预算管理，建立子公司可控成本清单，运营效率进一步提升。公司将继续坚持“优存量、拓增量、强管理”的经营主线，推动盈利能力持续改善。感谢您的关注！</w:t>
            </w:r>
          </w:p>
          <w:p>
            <w:pPr>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kern w:val="2"/>
                <w:sz w:val="24"/>
                <w:szCs w:val="24"/>
              </w:rPr>
            </w:pPr>
            <w:r>
              <w:rPr>
                <w:rFonts w:hint="eastAsia" w:ascii="宋体" w:hAnsi="宋体" w:eastAsia="宋体" w:cs="宋体"/>
                <w:snapToGrid w:val="0"/>
                <w:color w:val="000000"/>
                <w:kern w:val="2"/>
                <w:sz w:val="24"/>
                <w:szCs w:val="24"/>
                <w:lang w:val="en-US" w:eastAsia="zh-CN" w:bidi="ar"/>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2" w:firstLineChars="200"/>
              <w:jc w:val="left"/>
              <w:rPr>
                <w:rFonts w:hint="eastAsia" w:ascii="宋体" w:hAnsi="宋体" w:eastAsia="宋体" w:cs="宋体"/>
                <w:kern w:val="0"/>
                <w:sz w:val="24"/>
                <w:szCs w:val="24"/>
              </w:rPr>
            </w:pPr>
            <w:r>
              <w:rPr>
                <w:rStyle w:val="13"/>
                <w:rFonts w:hint="eastAsia" w:ascii="宋体" w:hAnsi="宋体" w:eastAsia="宋体" w:cs="宋体"/>
                <w:b/>
                <w:bCs w:val="0"/>
                <w:i w:val="0"/>
                <w:iCs w:val="0"/>
                <w:caps w:val="0"/>
                <w:color w:val="000000"/>
                <w:spacing w:val="0"/>
                <w:sz w:val="24"/>
                <w:szCs w:val="24"/>
                <w:shd w:val="clear" w:fill="FFFFFF"/>
                <w:lang w:val="en-US" w:eastAsia="zh-CN" w:bidi="ar"/>
              </w:rPr>
              <w:t>2.最近股价都创历史新高了，除了半年报业绩和中期分红，公司还有没有啥没公告的大事？另外，低空经济、商用机器人这些业务到底有没有给现在的业绩带来实际影响？</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0" w:firstLineChars="200"/>
              <w:jc w:val="left"/>
              <w:rPr>
                <w:rFonts w:hint="eastAsia" w:ascii="宋体" w:hAnsi="宋体" w:eastAsia="宋体" w:cs="宋体"/>
                <w:kern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答：尊敬的投资者您好！公司严格按照相关法律法规履行信息披露义务，截至目前不存在应披露而未披露的重大事项。公司近期经营情况正常，内外部经营环境未发生重大变化。</w:t>
            </w:r>
            <w:bookmarkStart w:id="0" w:name="_GoBack"/>
            <w:bookmarkEnd w:id="0"/>
            <w:r>
              <w:rPr>
                <w:rFonts w:hint="eastAsia" w:ascii="宋体" w:hAnsi="宋体" w:eastAsia="宋体" w:cs="宋体"/>
                <w:i w:val="0"/>
                <w:iCs w:val="0"/>
                <w:caps w:val="0"/>
                <w:color w:val="000000"/>
                <w:spacing w:val="0"/>
                <w:kern w:val="0"/>
                <w:sz w:val="24"/>
                <w:szCs w:val="24"/>
                <w:shd w:val="clear" w:fill="FFFFFF"/>
                <w:lang w:val="en-US" w:eastAsia="zh-CN" w:bidi="ar"/>
              </w:rPr>
              <w:t>感谢您的关注！</w:t>
            </w:r>
          </w:p>
          <w:p>
            <w:pPr>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kern w:val="2"/>
                <w:sz w:val="24"/>
                <w:szCs w:val="24"/>
              </w:rPr>
            </w:pPr>
            <w:r>
              <w:rPr>
                <w:rFonts w:hint="eastAsia" w:ascii="宋体" w:hAnsi="宋体" w:eastAsia="宋体" w:cs="宋体"/>
                <w:snapToGrid w:val="0"/>
                <w:color w:val="000000"/>
                <w:kern w:val="2"/>
                <w:sz w:val="24"/>
                <w:szCs w:val="24"/>
                <w:lang w:val="en-US" w:eastAsia="zh-CN" w:bidi="ar"/>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2" w:firstLineChars="200"/>
              <w:jc w:val="left"/>
              <w:rPr>
                <w:rFonts w:hint="eastAsia" w:ascii="宋体" w:hAnsi="宋体" w:eastAsia="宋体" w:cs="宋体"/>
                <w:kern w:val="0"/>
                <w:sz w:val="24"/>
                <w:szCs w:val="24"/>
              </w:rPr>
            </w:pPr>
            <w:r>
              <w:rPr>
                <w:rStyle w:val="13"/>
                <w:rFonts w:hint="eastAsia" w:ascii="宋体" w:hAnsi="宋体" w:eastAsia="宋体" w:cs="宋体"/>
                <w:b/>
                <w:bCs w:val="0"/>
                <w:i w:val="0"/>
                <w:iCs w:val="0"/>
                <w:caps w:val="0"/>
                <w:color w:val="000000"/>
                <w:spacing w:val="0"/>
                <w:sz w:val="24"/>
                <w:szCs w:val="24"/>
                <w:shd w:val="clear" w:fill="FFFFFF"/>
                <w:lang w:val="en-US" w:eastAsia="zh-CN" w:bidi="ar"/>
              </w:rPr>
              <w:t>3.最近公司高管变动挺多的，这对公司日常经营和管理会有影响吗？</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0" w:firstLineChars="200"/>
              <w:jc w:val="left"/>
              <w:rPr>
                <w:rFonts w:hint="eastAsia" w:ascii="宋体" w:hAnsi="宋体" w:eastAsia="宋体" w:cs="宋体"/>
                <w:kern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答：尊敬的投资者您好！公司近期部分高级管理人员的变动属于正常工作调整。公司已按照相关法律法规和《公司章程》的规定，及时完成相关岗位的补选和聘任工作。公司各项经营管理工作正常有序开展，管理层团队稳定，战略方向保持连续性。感谢您的关注！</w:t>
            </w:r>
          </w:p>
          <w:p>
            <w:pPr>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kern w:val="2"/>
                <w:sz w:val="24"/>
                <w:szCs w:val="24"/>
              </w:rPr>
            </w:pPr>
            <w:r>
              <w:rPr>
                <w:rFonts w:hint="eastAsia" w:ascii="宋体" w:hAnsi="宋体" w:eastAsia="宋体" w:cs="宋体"/>
                <w:snapToGrid w:val="0"/>
                <w:color w:val="000000"/>
                <w:kern w:val="2"/>
                <w:sz w:val="24"/>
                <w:szCs w:val="24"/>
                <w:lang w:val="en-US" w:eastAsia="zh-CN" w:bidi="ar"/>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2" w:firstLineChars="200"/>
              <w:jc w:val="left"/>
              <w:rPr>
                <w:rFonts w:hint="eastAsia" w:ascii="宋体" w:hAnsi="宋体" w:eastAsia="宋体" w:cs="宋体"/>
                <w:kern w:val="0"/>
                <w:sz w:val="24"/>
                <w:szCs w:val="24"/>
              </w:rPr>
            </w:pPr>
            <w:r>
              <w:rPr>
                <w:rStyle w:val="13"/>
                <w:rFonts w:hint="eastAsia" w:ascii="宋体" w:hAnsi="宋体" w:eastAsia="宋体" w:cs="宋体"/>
                <w:b/>
                <w:bCs w:val="0"/>
                <w:i w:val="0"/>
                <w:iCs w:val="0"/>
                <w:caps w:val="0"/>
                <w:color w:val="000000"/>
                <w:spacing w:val="0"/>
                <w:sz w:val="24"/>
                <w:szCs w:val="24"/>
                <w:shd w:val="clear" w:fill="FFFFFF"/>
                <w:lang w:val="en-US" w:eastAsia="zh-CN" w:bidi="ar"/>
              </w:rPr>
              <w:t>4.中期分红每10股派1元，那全年下来大概能分多少？以后还能不能保持这种分红力度？</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0" w:firstLineChars="200"/>
              <w:jc w:val="left"/>
              <w:rPr>
                <w:rFonts w:hint="eastAsia" w:ascii="宋体" w:hAnsi="宋体" w:eastAsia="宋体" w:cs="宋体"/>
                <w:kern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答：尊敬的投资者您好！公司2026年中期拟每10股派发现金红利1.00元（含税），合计派息约1,505万元，占归母净利润比例为23.35%。公司始终高度重视股东回报，2025年度公司现金分红比例为46.71%，并实施了资本公积金转增股本。中期分红比例主要考虑了下半年业务拓展的资金需求，全年分红方案将结合年度经营业绩和资金安排综合确定。公司将继续严格执行股东回报规划，力争保持分红政策的连续性和稳定性。感谢您的关注！</w:t>
            </w:r>
          </w:p>
          <w:p>
            <w:pPr>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kern w:val="2"/>
                <w:sz w:val="24"/>
                <w:szCs w:val="24"/>
              </w:rPr>
            </w:pPr>
            <w:r>
              <w:rPr>
                <w:rFonts w:hint="eastAsia" w:ascii="宋体" w:hAnsi="宋体" w:eastAsia="宋体" w:cs="宋体"/>
                <w:snapToGrid w:val="0"/>
                <w:color w:val="000000"/>
                <w:kern w:val="2"/>
                <w:sz w:val="24"/>
                <w:szCs w:val="24"/>
                <w:lang w:val="en-US" w:eastAsia="zh-CN" w:bidi="ar"/>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2" w:firstLineChars="200"/>
              <w:jc w:val="left"/>
              <w:rPr>
                <w:rFonts w:hint="eastAsia" w:ascii="宋体" w:hAnsi="宋体" w:eastAsia="宋体" w:cs="宋体"/>
                <w:kern w:val="0"/>
                <w:sz w:val="24"/>
                <w:szCs w:val="24"/>
              </w:rPr>
            </w:pPr>
            <w:r>
              <w:rPr>
                <w:rStyle w:val="13"/>
                <w:rFonts w:hint="eastAsia" w:ascii="宋体" w:hAnsi="宋体" w:eastAsia="宋体" w:cs="宋体"/>
                <w:b/>
                <w:bCs w:val="0"/>
                <w:i w:val="0"/>
                <w:iCs w:val="0"/>
                <w:caps w:val="0"/>
                <w:color w:val="000000"/>
                <w:spacing w:val="0"/>
                <w:sz w:val="24"/>
                <w:szCs w:val="24"/>
                <w:shd w:val="clear" w:fill="FFFFFF"/>
                <w:lang w:val="en-US" w:eastAsia="zh-CN" w:bidi="ar"/>
              </w:rPr>
              <w:t>5.公司低空安全这块业务现在到底有多少收入？未来发展前景如何？</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0" w:firstLineChars="200"/>
              <w:jc w:val="left"/>
              <w:rPr>
                <w:rFonts w:hint="eastAsia" w:ascii="宋体" w:hAnsi="宋体" w:eastAsia="宋体" w:cs="宋体"/>
                <w:kern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答：尊敬的投资者您好！公司低空安全业务目前正处于从“签约布局”向“多点落地”转换的阶段，2025年全年低空业务累计签约额超3,600万元。2026年上半年，公司在省级平台建设、多个地市项目落地等方面取得实质性进展，正逐步从投入期向产出期过渡。随着省级平台建成和各地市项目复制推广，该业务有望在未来几年内逐步成为公司的收入增长点。具体收入数据请以定期报告披露为准。感谢您的关注！</w:t>
            </w:r>
          </w:p>
          <w:p>
            <w:pPr>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kern w:val="2"/>
                <w:sz w:val="24"/>
                <w:szCs w:val="24"/>
              </w:rPr>
            </w:pPr>
            <w:r>
              <w:rPr>
                <w:rFonts w:hint="eastAsia" w:ascii="宋体" w:hAnsi="宋体" w:eastAsia="宋体" w:cs="宋体"/>
                <w:snapToGrid w:val="0"/>
                <w:color w:val="000000"/>
                <w:kern w:val="2"/>
                <w:sz w:val="24"/>
                <w:szCs w:val="24"/>
                <w:lang w:val="en-US" w:eastAsia="zh-CN" w:bidi="ar"/>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2" w:firstLineChars="200"/>
              <w:jc w:val="left"/>
              <w:rPr>
                <w:rFonts w:hint="eastAsia" w:ascii="宋体" w:hAnsi="宋体" w:eastAsia="宋体" w:cs="宋体"/>
                <w:kern w:val="0"/>
                <w:sz w:val="24"/>
                <w:szCs w:val="24"/>
              </w:rPr>
            </w:pPr>
            <w:r>
              <w:rPr>
                <w:rStyle w:val="13"/>
                <w:rFonts w:hint="eastAsia" w:ascii="宋体" w:hAnsi="宋体" w:eastAsia="宋体" w:cs="宋体"/>
                <w:b/>
                <w:bCs w:val="0"/>
                <w:i w:val="0"/>
                <w:iCs w:val="0"/>
                <w:caps w:val="0"/>
                <w:color w:val="000000"/>
                <w:spacing w:val="0"/>
                <w:sz w:val="24"/>
                <w:szCs w:val="24"/>
                <w:shd w:val="clear" w:fill="FFFFFF"/>
                <w:lang w:val="en-US" w:eastAsia="zh-CN" w:bidi="ar"/>
              </w:rPr>
              <w:t>6.上半年经营现金流是负的，这是咋回事？下半年能好转吗？全年现金流能不能保持健康？</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0" w:firstLineChars="200"/>
              <w:jc w:val="left"/>
              <w:rPr>
                <w:rFonts w:hint="eastAsia" w:ascii="宋体" w:hAnsi="宋体" w:eastAsia="宋体" w:cs="宋体"/>
                <w:kern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答：尊敬的投资者您好！公司上半年经营活动现金流量净额为-1.04亿元，主要系销售商品、提供劳务收到的现金较上年同期减少所致。这与公司所处行业的季节性回款节奏有关，武装押运业务的主要客户为银行等金融机构，其结算周期通常集中于下半年。从历史情况看，公司2025年全年经营活动现金流量净额为4.77亿元，现金流整体保持健康。公司将持续加强应收账款管理，优化回款效率。感谢您的关注！</w:t>
            </w:r>
          </w:p>
          <w:p>
            <w:pPr>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kern w:val="2"/>
                <w:sz w:val="24"/>
                <w:szCs w:val="24"/>
              </w:rPr>
            </w:pPr>
            <w:r>
              <w:rPr>
                <w:rFonts w:hint="eastAsia" w:ascii="宋体" w:hAnsi="宋体" w:eastAsia="宋体" w:cs="宋体"/>
                <w:snapToGrid w:val="0"/>
                <w:color w:val="000000"/>
                <w:kern w:val="2"/>
                <w:sz w:val="24"/>
                <w:szCs w:val="24"/>
                <w:lang w:val="en-US" w:eastAsia="zh-CN" w:bidi="ar"/>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2" w:firstLineChars="200"/>
              <w:jc w:val="left"/>
              <w:rPr>
                <w:rFonts w:hint="eastAsia" w:ascii="宋体" w:hAnsi="宋体" w:eastAsia="宋体" w:cs="宋体"/>
                <w:kern w:val="0"/>
                <w:sz w:val="24"/>
                <w:szCs w:val="24"/>
              </w:rPr>
            </w:pPr>
            <w:r>
              <w:rPr>
                <w:rStyle w:val="13"/>
                <w:rFonts w:hint="eastAsia" w:ascii="宋体" w:hAnsi="宋体" w:eastAsia="宋体" w:cs="宋体"/>
                <w:b/>
                <w:bCs w:val="0"/>
                <w:i w:val="0"/>
                <w:iCs w:val="0"/>
                <w:caps w:val="0"/>
                <w:color w:val="000000"/>
                <w:spacing w:val="0"/>
                <w:sz w:val="24"/>
                <w:szCs w:val="24"/>
                <w:shd w:val="clear" w:fill="FFFFFF"/>
                <w:lang w:val="en-US" w:eastAsia="zh-CN" w:bidi="ar"/>
              </w:rPr>
              <w:t>7.去年公司实施了资本公积金转增股本方案，今年还会不会再送股或者转增？</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0" w:firstLineChars="200"/>
              <w:jc w:val="left"/>
              <w:rPr>
                <w:rFonts w:hint="eastAsia" w:ascii="宋体" w:hAnsi="宋体" w:eastAsia="宋体" w:cs="宋体"/>
                <w:kern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答：尊敬的投资者您好！公司2025年度权益分派以资本公积金向全体股东每股转增0.4股，总股本由1.075亿股增至1.505亿股。资本公积金转增股本有利于增加公司股票的流动性，提升市场参与度。未来公司是否继续实施股本扩张计划，将根据公司经营发展需要、资本市场环境及股东利益等因素综合考量。如有相关计划，公司将严格按照规定履行审议程序和信息披露义务。感谢您的关注！</w:t>
            </w:r>
          </w:p>
          <w:p>
            <w:pPr>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kern w:val="2"/>
                <w:sz w:val="24"/>
                <w:szCs w:val="24"/>
              </w:rPr>
            </w:pPr>
            <w:r>
              <w:rPr>
                <w:rFonts w:hint="eastAsia" w:ascii="宋体" w:hAnsi="宋体" w:eastAsia="宋体" w:cs="宋体"/>
                <w:snapToGrid w:val="0"/>
                <w:color w:val="000000"/>
                <w:kern w:val="2"/>
                <w:sz w:val="24"/>
                <w:szCs w:val="24"/>
                <w:lang w:val="en-US" w:eastAsia="zh-CN" w:bidi="ar"/>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2" w:firstLineChars="200"/>
              <w:jc w:val="left"/>
              <w:rPr>
                <w:rFonts w:hint="eastAsia" w:ascii="宋体" w:hAnsi="宋体" w:eastAsia="宋体" w:cs="宋体"/>
                <w:kern w:val="0"/>
                <w:sz w:val="24"/>
                <w:szCs w:val="24"/>
              </w:rPr>
            </w:pPr>
            <w:r>
              <w:rPr>
                <w:rStyle w:val="13"/>
                <w:rFonts w:hint="eastAsia" w:ascii="宋体" w:hAnsi="宋体" w:eastAsia="宋体" w:cs="宋体"/>
                <w:b/>
                <w:bCs w:val="0"/>
                <w:i w:val="0"/>
                <w:iCs w:val="0"/>
                <w:caps w:val="0"/>
                <w:color w:val="000000"/>
                <w:spacing w:val="0"/>
                <w:sz w:val="24"/>
                <w:szCs w:val="24"/>
                <w:shd w:val="clear" w:fill="FFFFFF"/>
                <w:lang w:val="en-US" w:eastAsia="zh-CN" w:bidi="ar"/>
              </w:rPr>
              <w:t>8.海外安保这块现在进展怎么样了？公司目前算是什么阶段？</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0" w:firstLineChars="200"/>
              <w:jc w:val="left"/>
              <w:rPr>
                <w:rFonts w:hint="eastAsia" w:ascii="宋体" w:hAnsi="宋体" w:eastAsia="宋体" w:cs="宋体"/>
                <w:kern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答：尊敬的投资者您好！海外安保业务是公司正在培育的新兴方向，目前处于有序布局期。公司已入选“海外公共安全之江研究中心”专家单位，加入“浙江省海外综合服务伙伴计划”，与院校签订校企合作框架协议，承办涉外安全培训班，并组织骨干赴海外开展项目尽调。公司将立足自身综合优势，稳健推进相关业务。感谢您的关注！</w:t>
            </w:r>
          </w:p>
          <w:p>
            <w:pPr>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kern w:val="2"/>
                <w:sz w:val="24"/>
                <w:szCs w:val="24"/>
              </w:rPr>
            </w:pPr>
            <w:r>
              <w:rPr>
                <w:rFonts w:hint="eastAsia" w:ascii="宋体" w:hAnsi="宋体" w:eastAsia="宋体" w:cs="宋体"/>
                <w:snapToGrid w:val="0"/>
                <w:color w:val="000000"/>
                <w:kern w:val="2"/>
                <w:sz w:val="24"/>
                <w:szCs w:val="24"/>
                <w:lang w:val="en-US" w:eastAsia="zh-CN" w:bidi="ar"/>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2" w:firstLineChars="200"/>
              <w:jc w:val="left"/>
              <w:rPr>
                <w:rFonts w:hint="eastAsia" w:ascii="宋体" w:hAnsi="宋体" w:eastAsia="宋体" w:cs="宋体"/>
                <w:kern w:val="0"/>
                <w:sz w:val="24"/>
                <w:szCs w:val="24"/>
              </w:rPr>
            </w:pPr>
            <w:r>
              <w:rPr>
                <w:rStyle w:val="13"/>
                <w:rFonts w:hint="eastAsia" w:ascii="宋体" w:hAnsi="宋体" w:eastAsia="宋体" w:cs="宋体"/>
                <w:b/>
                <w:bCs w:val="0"/>
                <w:i w:val="0"/>
                <w:iCs w:val="0"/>
                <w:caps w:val="0"/>
                <w:color w:val="000000"/>
                <w:spacing w:val="0"/>
                <w:sz w:val="24"/>
                <w:szCs w:val="24"/>
                <w:shd w:val="clear" w:fill="FFFFFF"/>
                <w:lang w:val="en-US" w:eastAsia="zh-CN" w:bidi="ar"/>
              </w:rPr>
              <w:t>9.公司账上钱不少，负债率又这么低，这些钱以后准备怎么花？有没有具体规划？</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0" w:firstLineChars="200"/>
              <w:jc w:val="left"/>
              <w:rPr>
                <w:rFonts w:hint="eastAsia" w:ascii="宋体" w:hAnsi="宋体" w:eastAsia="宋体" w:cs="宋体"/>
                <w:kern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答：尊敬的投资者您好！公司资产负债结构稳健，2026年6月末资产负债率仅24.77%，处于行业较低水平。资金运用方面，公司主要围绕“建设科技型综合大安全服务企业”的战略目标，积极关注与主业相关的创新产业链上下游机会，在低空经济、人工智能、智慧安防等新兴领域寻找具有核心竞争力和成长潜力的优质项目机会。同时，公司将持续推进提质增效，在保障日常营运资金及战略业务投入的前提下，有计划的实施利润分配，持续落实股东回报政策，合理平衡公司长远发展与股东现实收益。感谢您的关注！</w:t>
            </w:r>
          </w:p>
          <w:p>
            <w:pPr>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kern w:val="2"/>
                <w:sz w:val="24"/>
                <w:szCs w:val="24"/>
              </w:rPr>
            </w:pPr>
            <w:r>
              <w:rPr>
                <w:rFonts w:hint="eastAsia" w:ascii="宋体" w:hAnsi="宋体" w:eastAsia="宋体" w:cs="宋体"/>
                <w:snapToGrid w:val="0"/>
                <w:color w:val="000000"/>
                <w:kern w:val="2"/>
                <w:sz w:val="24"/>
                <w:szCs w:val="24"/>
                <w:lang w:val="en-US" w:eastAsia="zh-CN" w:bidi="ar"/>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2" w:firstLineChars="200"/>
              <w:jc w:val="left"/>
              <w:rPr>
                <w:rFonts w:hint="eastAsia" w:ascii="宋体" w:hAnsi="宋体" w:eastAsia="宋体" w:cs="宋体"/>
                <w:kern w:val="0"/>
                <w:sz w:val="24"/>
                <w:szCs w:val="24"/>
              </w:rPr>
            </w:pPr>
            <w:r>
              <w:rPr>
                <w:rStyle w:val="13"/>
                <w:rFonts w:hint="eastAsia" w:ascii="宋体" w:hAnsi="宋体" w:eastAsia="宋体" w:cs="宋体"/>
                <w:b/>
                <w:bCs w:val="0"/>
                <w:i w:val="0"/>
                <w:iCs w:val="0"/>
                <w:caps w:val="0"/>
                <w:color w:val="000000"/>
                <w:spacing w:val="0"/>
                <w:sz w:val="24"/>
                <w:szCs w:val="24"/>
                <w:shd w:val="clear" w:fill="FFFFFF"/>
                <w:lang w:val="en-US" w:eastAsia="zh-CN" w:bidi="ar"/>
              </w:rPr>
              <w:t>10.人工成本一直是公司的大头，这几年还在涨，这块压力越来越大，公司打算怎么扛？</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0" w:firstLineChars="200"/>
              <w:jc w:val="left"/>
              <w:rPr>
                <w:rFonts w:hint="eastAsia" w:ascii="宋体" w:hAnsi="宋体" w:eastAsia="宋体" w:cs="宋体"/>
                <w:kern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答：尊敬的投资者您好！公司正积极推动安防模式的科技化转型。在押运环节，公司已启动新能源押运车替代工作，并持续推进数字化管理。在安防环节，公司通过无人机、机器狗与AI预警系统的联动，已在校园等场景实现规模化应用，有效提升了巡防效率。未来公司将继续通过科技赋能和精细化管理，优化成本结构。感谢您的关注！</w:t>
            </w:r>
          </w:p>
          <w:p>
            <w:pPr>
              <w:keepNext w:val="0"/>
              <w:keepLines w:val="0"/>
              <w:widowControl/>
              <w:suppressLineNumbers w:val="0"/>
              <w:spacing w:before="0" w:beforeAutospacing="0" w:after="0" w:afterAutospacing="0"/>
              <w:ind w:left="0" w:right="0" w:firstLine="480" w:firstLineChars="200"/>
              <w:jc w:val="left"/>
              <w:rPr>
                <w:rFonts w:hint="eastAsia" w:ascii="宋体" w:hAnsi="宋体" w:eastAsia="宋体" w:cs="宋体"/>
                <w:kern w:val="2"/>
                <w:sz w:val="24"/>
                <w:szCs w:val="24"/>
              </w:rPr>
            </w:pPr>
            <w:r>
              <w:rPr>
                <w:rFonts w:hint="eastAsia" w:ascii="宋体" w:hAnsi="宋体" w:eastAsia="宋体" w:cs="宋体"/>
                <w:snapToGrid w:val="0"/>
                <w:color w:val="000000"/>
                <w:kern w:val="2"/>
                <w:sz w:val="24"/>
                <w:szCs w:val="24"/>
                <w:lang w:val="en-US" w:eastAsia="zh-CN" w:bidi="ar"/>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firstLine="482" w:firstLineChars="200"/>
              <w:jc w:val="left"/>
              <w:rPr>
                <w:rFonts w:hint="eastAsia" w:ascii="宋体" w:hAnsi="宋体" w:eastAsia="宋体" w:cs="宋体"/>
                <w:kern w:val="0"/>
                <w:sz w:val="24"/>
                <w:szCs w:val="24"/>
              </w:rPr>
            </w:pPr>
            <w:r>
              <w:rPr>
                <w:rStyle w:val="13"/>
                <w:rFonts w:hint="eastAsia" w:ascii="宋体" w:hAnsi="宋体" w:eastAsia="宋体" w:cs="宋体"/>
                <w:b/>
                <w:bCs w:val="0"/>
                <w:i w:val="0"/>
                <w:iCs w:val="0"/>
                <w:caps w:val="0"/>
                <w:color w:val="000000"/>
                <w:spacing w:val="0"/>
                <w:sz w:val="24"/>
                <w:szCs w:val="24"/>
                <w:shd w:val="clear" w:fill="FFFFFF"/>
                <w:lang w:val="en-US" w:eastAsia="zh-CN" w:bidi="ar"/>
              </w:rPr>
              <w:t>11.传统武装押运业务很难持续增长，管理层如何看待这项业务的未来？</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sz w:val="24"/>
                <w:szCs w:val="24"/>
              </w:rPr>
            </w:pPr>
            <w:r>
              <w:rPr>
                <w:rFonts w:hint="eastAsia" w:ascii="宋体" w:hAnsi="宋体" w:eastAsia="宋体" w:cs="宋体"/>
                <w:i w:val="0"/>
                <w:iCs w:val="0"/>
                <w:caps w:val="0"/>
                <w:snapToGrid w:val="0"/>
                <w:color w:val="000000"/>
                <w:spacing w:val="0"/>
                <w:kern w:val="2"/>
                <w:sz w:val="24"/>
                <w:szCs w:val="24"/>
                <w:shd w:val="clear" w:fill="FFFFFF"/>
                <w:lang w:val="en-US" w:eastAsia="zh-CN" w:bidi="ar"/>
              </w:rPr>
              <w:t>答：尊敬的投资者您好！传统武装押运业务是公司长期稳健经营的基本盘和业务底座。目前公司正积极推动该业务向集中化、智能化、综合化方向转型，主要措施包括：加快区域现金处理中心建设，拓展现金清分、尾箱寄库、自助设备托管等高附加值服务；积极拓展非现金押运业务；通过新能源押运车替代和数字化管理降低运营成本。公司拥有浙江省内全覆盖的武装押运资质与网点网络，区域壁垒高、客户粘性强，将持续巩固这一基本盘。感谢您的关注！</w:t>
            </w:r>
          </w:p>
          <w:p>
            <w:pPr>
              <w:spacing w:line="460" w:lineRule="exact"/>
              <w:ind w:firstLine="480" w:firstLineChars="200"/>
              <w:rPr>
                <w:rFonts w:ascii="宋体" w:hAnsi="宋体" w:eastAsia="宋体" w:cs="宋体"/>
                <w:sz w:val="24"/>
              </w:rPr>
            </w:pPr>
          </w:p>
          <w:p>
            <w:pPr>
              <w:pStyle w:val="9"/>
              <w:numPr>
                <w:ilvl w:val="0"/>
                <w:numId w:val="0"/>
              </w:num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574" w:type="dxa"/>
            <w:vAlign w:val="top"/>
          </w:tcPr>
          <w:p>
            <w:pPr>
              <w:pStyle w:val="8"/>
              <w:spacing w:before="67" w:line="229" w:lineRule="auto"/>
              <w:ind w:left="318" w:right="301" w:firstLine="12"/>
            </w:pPr>
            <w:r>
              <w:rPr>
                <w:b/>
                <w:bCs/>
                <w:spacing w:val="-9"/>
              </w:rPr>
              <w:t>附件清单</w:t>
            </w:r>
            <w:r>
              <w:rPr>
                <w:spacing w:val="1"/>
              </w:rPr>
              <w:t xml:space="preserve"> </w:t>
            </w:r>
            <w:r>
              <w:rPr>
                <w:b/>
                <w:bCs/>
                <w:spacing w:val="-6"/>
              </w:rPr>
              <w:t>（如有）</w:t>
            </w:r>
          </w:p>
        </w:tc>
        <w:tc>
          <w:tcPr>
            <w:tcW w:w="8450" w:type="dxa"/>
            <w:gridSpan w:val="2"/>
            <w:vAlign w:val="center"/>
          </w:tcPr>
          <w:p>
            <w:pPr>
              <w:pStyle w:val="8"/>
              <w:spacing w:before="144" w:line="220" w:lineRule="auto"/>
              <w:ind w:left="134"/>
              <w:jc w:val="both"/>
            </w:pPr>
            <w:r>
              <w:t>无</w:t>
            </w:r>
          </w:p>
        </w:tc>
      </w:tr>
    </w:tbl>
    <w:p>
      <w:pPr>
        <w:rPr>
          <w:rFonts w:ascii="Arial"/>
          <w:sz w:val="21"/>
        </w:rPr>
      </w:pPr>
    </w:p>
    <w:sectPr>
      <w:pgSz w:w="11907" w:h="16841"/>
      <w:pgMar w:top="1320" w:right="842" w:bottom="0" w:left="1034"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0"/>
  <w:displayVerticalDrawingGridEvery w:val="2"/>
  <w:characterSpacingControl w:val="doNotCompress"/>
  <w:footnotePr>
    <w:footnote w:id="0"/>
    <w:footnote w:id="1"/>
  </w:footnotePr>
  <w:endnotePr>
    <w:endnote w:id="0"/>
    <w:endnote w:id="1"/>
  </w:endnotePr>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rsids>
    <w:rsidRoot w:val="00000000"/>
    <w:rsid w:val="00296181"/>
    <w:rsid w:val="009F1215"/>
    <w:rsid w:val="0D4D07F9"/>
    <w:rsid w:val="1226243D"/>
    <w:rsid w:val="124F49A5"/>
    <w:rsid w:val="186F208E"/>
    <w:rsid w:val="21B64868"/>
    <w:rsid w:val="23297FF6"/>
    <w:rsid w:val="28E630B9"/>
    <w:rsid w:val="2B3A3115"/>
    <w:rsid w:val="37041A0B"/>
    <w:rsid w:val="3A27062E"/>
    <w:rsid w:val="3E0B0815"/>
    <w:rsid w:val="494E5F67"/>
    <w:rsid w:val="4AED371F"/>
    <w:rsid w:val="50A877FC"/>
    <w:rsid w:val="517B4D82"/>
    <w:rsid w:val="53F71EDB"/>
    <w:rsid w:val="54DC710C"/>
    <w:rsid w:val="6867285A"/>
    <w:rsid w:val="6E8D77E2"/>
    <w:rsid w:val="6FB4428E"/>
    <w:rsid w:val="7A340F15"/>
    <w:rsid w:val="7CA91B1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link w:val="11"/>
    <w:semiHidden/>
    <w:qFormat/>
    <w:uiPriority w:val="0"/>
    <w:rPr>
      <w:rFonts w:ascii="宋体" w:hAnsi="宋体" w:eastAsia="宋体" w:cs="宋体"/>
      <w:sz w:val="24"/>
      <w:szCs w:val="24"/>
      <w:lang w:val="en-US" w:eastAsia="en-US" w:bidi="ar-SA"/>
    </w:rPr>
  </w:style>
  <w:style w:type="paragraph" w:styleId="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4">
    <w:name w:val="Normal (Web)"/>
    <w:basedOn w:val="1"/>
    <w:uiPriority w:val="0"/>
    <w:rPr>
      <w:sz w:val="24"/>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宋体" w:hAnsi="宋体" w:eastAsia="宋体" w:cs="宋体"/>
      <w:sz w:val="24"/>
      <w:szCs w:val="24"/>
      <w:lang w:val="en-US" w:eastAsia="en-US" w:bidi="ar-SA"/>
    </w:rPr>
  </w:style>
  <w:style w:type="paragraph" w:styleId="9">
    <w:name w:val="List Paragraph"/>
    <w:basedOn w:val="1"/>
    <w:qFormat/>
    <w:uiPriority w:val="34"/>
    <w:pPr>
      <w:ind w:firstLine="420" w:firstLineChars="200"/>
    </w:pPr>
  </w:style>
  <w:style w:type="paragraph" w:customStyle="1" w:styleId="10">
    <w:name w:val="_Style 6"/>
    <w:basedOn w:val="1"/>
    <w:qFormat/>
    <w:uiPriority w:val="34"/>
    <w:pPr>
      <w:ind w:firstLine="420" w:firstLineChars="200"/>
    </w:pPr>
    <w:rPr>
      <w:rFonts w:ascii="Calibri" w:hAnsi="Calibri" w:eastAsia="宋体" w:cs="Times New Roman"/>
      <w:szCs w:val="22"/>
    </w:rPr>
  </w:style>
  <w:style w:type="character" w:customStyle="1" w:styleId="11">
    <w:name w:val="正文文本 Char"/>
    <w:link w:val="2"/>
    <w:qFormat/>
    <w:uiPriority w:val="0"/>
    <w:rPr>
      <w:rFonts w:ascii="宋体" w:hAnsi="宋体" w:eastAsia="宋体" w:cs="宋体"/>
      <w:sz w:val="24"/>
      <w:szCs w:val="24"/>
      <w:lang w:val="en-US" w:eastAsia="en-US" w:bidi="ar-SA"/>
    </w:rPr>
  </w:style>
  <w:style w:type="character" w:customStyle="1" w:styleId="12">
    <w:name w:val="10"/>
    <w:basedOn w:val="6"/>
    <w:qFormat/>
    <w:uiPriority w:val="0"/>
    <w:rPr>
      <w:rFonts w:hint="default" w:ascii="Times New Roman" w:hAnsi="Times New Roman" w:cs="Times New Roman"/>
    </w:rPr>
  </w:style>
  <w:style w:type="character" w:customStyle="1" w:styleId="13">
    <w:name w:val="15"/>
    <w:basedOn w:val="6"/>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2506</Words>
  <Characters>2557</Characters>
  <Lines>1</Lines>
  <Paragraphs>1</Paragraphs>
  <TotalTime>33</TotalTime>
  <ScaleCrop>false</ScaleCrop>
  <LinksUpToDate>false</LinksUpToDate>
  <CharactersWithSpaces>2611</CharactersWithSpaces>
  <Application>WPS Office_11.8.2.12251_F1E327BC-269C-435d-A152-05C5408002CA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2024-04-26T17:48:00Z</dcterms:created>
  <dc:creator>xfzj</dc:creator>
  <cp:lastModifiedBy>王艳</cp:lastModifiedBy>
  <dcterms:modified xsi:type="dcterms:W3CDTF">2026-09-29T09:06:41Z</dcterms:modified>
  <dc:title>投资者关系活动记录表</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2024-05-31T09:14:46Z</vt:filetime>
  </property>
  <property fmtid="{D5CDD505-2E9C-101B-9397-08002B2CF9AE}" pid="4" name="KSOProductBuildVer">
    <vt:lpwstr>2052-11.8.2.12251</vt:lpwstr>
  </property>
  <property fmtid="{D5CDD505-2E9C-101B-9397-08002B2CF9AE}" pid="5" name="ICV">
    <vt:lpwstr>4376142E80BE4E1EA2D639C40D000A40</vt:lpwstr>
  </property>
</Properties>
</file>